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2e86ab"/>
          <w:sz w:val="20"/>
          <w:szCs w:val="20"/>
          <w:rtl w:val="0"/>
        </w:rPr>
        <w:t xml:space="preserve">TECHNICAL DESIGN DOCUMENT</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color w:val="1f4e78"/>
          <w:sz w:val="40"/>
          <w:szCs w:val="40"/>
          <w:rtl w:val="0"/>
        </w:rPr>
        <w:t xml:space="preserve">Browser Agent for Automated Multi-Item Returns</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rFonts w:ascii="Calibri" w:cs="Calibri" w:eastAsia="Calibri" w:hAnsi="Calibri"/>
          <w:i w:val="1"/>
          <w:iCs w:val="1"/>
          <w:color w:val="555555"/>
          <w:sz w:val="21"/>
          <w:szCs w:val="21"/>
          <w:rtl w:val="0"/>
        </w:rPr>
        <w:t xml:space="preserve">Platforms in scope: Amazon, Flipkart  •  Prepared as a response to the returns-automation brief</w:t>
      </w:r>
      <w:r w:rsidDel="00000000" w:rsidR="00000000" w:rsidRPr="00000000">
        <w:rPr>
          <w:rtl w:val="0"/>
        </w:rPr>
      </w:r>
    </w:p>
    <w:p w:rsidR="00000000" w:rsidDel="00000000" w:rsidP="00000000" w:rsidRDefault="00000000" w:rsidRPr="00000000" w14:paraId="00000004">
      <w:pPr>
        <w:pStyle w:val="Heading1"/>
        <w:spacing w:after="160" w:before="340" w:lineRule="auto"/>
        <w:rPr/>
      </w:pPr>
      <w:r w:rsidDel="00000000" w:rsidR="00000000" w:rsidRPr="00000000">
        <w:rPr>
          <w:rtl w:val="0"/>
        </w:rPr>
        <w:t xml:space="preserve">1. Executive Summary</w:t>
      </w:r>
    </w:p>
    <w:p w:rsidR="00000000" w:rsidDel="00000000" w:rsidP="00000000" w:rsidRDefault="00000000" w:rsidRPr="00000000" w14:paraId="00000005">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brief asks for a browser agent that reads pending return tasks from Excel, places the return on Amazon or Flipkart, and writes the outcome back per line item reliably, and without tripping bot detection. The design below does exactly that, built around three decisions worth calling out up front: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for an official Returns API before building a scraper. Amazon's SP-API and Flipkart's Seller API both expose return/refund endpoints for registered sellers if our account qualifies, that path is more reliable and fully ToS-compliant. Section 2 covers this.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orchestrator, thin per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adapters. Amazon and Flipkart differ in DOM and flow, not in the task shape, so a single state machine drives both via a common adapter interface.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“Look like a normal repeat customer,” not “defeat the platform's security.” The bot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avoidance section (6) is about session persistence and human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paced actions on an account we legitimately operate not fingerprint spoofing or CAPTCHA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defeat, which would be both fragile and the wrong call for a production seller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ops tool.</w:t>
      </w:r>
      <w:r w:rsidDel="00000000" w:rsidR="00000000" w:rsidRPr="00000000">
        <w:rPr>
          <w:rtl w:val="0"/>
        </w:rPr>
      </w:r>
    </w:p>
    <w:p w:rsidR="00000000" w:rsidDel="00000000" w:rsidP="00000000" w:rsidRDefault="00000000" w:rsidRPr="00000000" w14:paraId="00000009">
      <w:pPr>
        <w:pStyle w:val="Heading1"/>
        <w:spacing w:after="160" w:before="340" w:lineRule="auto"/>
        <w:rPr/>
      </w:pPr>
      <w:r w:rsidDel="00000000" w:rsidR="00000000" w:rsidRPr="00000000">
        <w:rPr>
          <w:rtl w:val="0"/>
        </w:rPr>
        <w:t xml:space="preserve">2. Recommended Approach: API-First, Browser Automation as the Fallback</w:t>
      </w:r>
    </w:p>
    <w:p w:rsidR="00000000" w:rsidDel="00000000" w:rsidP="00000000" w:rsidRDefault="00000000" w:rsidRPr="00000000" w14:paraId="0000000A">
      <w:pPr>
        <w:spacing w:after="140" w:line="276" w:lineRule="auto"/>
        <w:rPr/>
      </w:pPr>
      <w:r w:rsidDel="00000000" w:rsidR="00000000" w:rsidRPr="00000000">
        <w:rPr>
          <w:rFonts w:ascii="Calibri" w:cs="Calibri" w:eastAsia="Calibri" w:hAnsi="Calibri"/>
          <w:b w:val="0"/>
          <w:bCs w:val="0"/>
          <w:i w:val="0"/>
          <w:iCs w:val="0"/>
          <w:sz w:val="22"/>
          <w:szCs w:val="22"/>
          <w:rtl w:val="0"/>
        </w:rPr>
        <w:t xml:space="preserve">Before committing to a scraper, it's worth a short spike (1–2 days) to check whether our seller/business accounts already have programmatic access to returns data: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SP-API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Returns/Order APIs let a registered seller list, and in some flows action, returns without touching a browser at all.</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Flipkart Seller API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exposes return and refund status endpoints for marketplace sellers on the Flipkart Seller Hub.</w:t>
      </w:r>
      <w:r w:rsidDel="00000000" w:rsidR="00000000" w:rsidRPr="00000000">
        <w:rPr>
          <w:rtl w:val="0"/>
        </w:rPr>
      </w:r>
    </w:p>
    <w:p w:rsidR="00000000" w:rsidDel="00000000" w:rsidP="00000000" w:rsidRDefault="00000000" w:rsidRPr="00000000" w14:paraId="0000000D">
      <w:pPr>
        <w:spacing w:after="140" w:line="276" w:lineRule="auto"/>
        <w:rPr/>
      </w:pPr>
      <w:r w:rsidDel="00000000" w:rsidR="00000000" w:rsidRPr="00000000">
        <w:rPr>
          <w:rFonts w:ascii="Calibri" w:cs="Calibri" w:eastAsia="Calibri" w:hAnsi="Calibri"/>
          <w:b w:val="0"/>
          <w:bCs w:val="0"/>
          <w:i w:val="0"/>
          <w:iCs w:val="0"/>
          <w:sz w:val="22"/>
          <w:szCs w:val="22"/>
          <w:rtl w:val="0"/>
        </w:rPr>
        <w:t xml:space="preserve">Where an API is available, it should win by default: it doesn't break when the platform redesigns a page, it isn't at risk of being flagged as bot traffic, and it's an order of magnitude faster per item. The remainder of this document designs the browser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z w:val="22"/>
          <w:szCs w:val="22"/>
          <w:rtl w:val="0"/>
        </w:rPr>
        <w:t xml:space="preserve">automation path the realistic fallback for whatever slice of platforms or flows (e.g. buyer-side test accounts, as scoped for the Flipkart test orders here) don't have usable API access.</w:t>
      </w:r>
      <w:r w:rsidDel="00000000" w:rsidR="00000000" w:rsidRPr="00000000">
        <w:rPr>
          <w:rtl w:val="0"/>
        </w:rPr>
      </w:r>
    </w:p>
    <w:p w:rsidR="00000000" w:rsidDel="00000000" w:rsidP="00000000" w:rsidRDefault="00000000" w:rsidRPr="00000000" w14:paraId="0000000E">
      <w:pPr>
        <w:pStyle w:val="Heading1"/>
        <w:spacing w:after="160" w:before="340" w:lineRule="auto"/>
        <w:rPr/>
      </w:pPr>
      <w:r w:rsidDel="00000000" w:rsidR="00000000" w:rsidRPr="00000000">
        <w:rPr>
          <w:rtl w:val="0"/>
        </w:rPr>
        <w:t xml:space="preserve">3. System Architecture</w:t>
      </w:r>
    </w:p>
    <w:p w:rsidR="00000000" w:rsidDel="00000000" w:rsidP="00000000" w:rsidRDefault="00000000" w:rsidRPr="00000000" w14:paraId="0000000F">
      <w:pPr>
        <w:spacing w:after="140" w:line="276" w:lineRule="auto"/>
        <w:rPr/>
      </w:pPr>
      <w:r w:rsidDel="00000000" w:rsidR="00000000" w:rsidRPr="00000000">
        <w:rPr>
          <w:rFonts w:ascii="Calibri" w:cs="Calibri" w:eastAsia="Calibri" w:hAnsi="Calibri"/>
          <w:b w:val="0"/>
          <w:bCs w:val="0"/>
          <w:i w:val="0"/>
          <w:iCs w:val="0"/>
          <w:sz w:val="22"/>
          <w:szCs w:val="22"/>
          <w:rtl w:val="0"/>
        </w:rPr>
        <w:t xml:space="preserve">Four moving parts: the Excel task queue, an orchestrator that owns the state machine and retry logic, a thin adapter per platform that knows that platform's DOM/flow, and a shared Playwright browser layer that both adapters drive.</w:t>
      </w:r>
      <w:r w:rsidDel="00000000" w:rsidR="00000000" w:rsidRPr="00000000">
        <w:rPr>
          <w:rtl w:val="0"/>
        </w:rPr>
      </w:r>
    </w:p>
    <w:p w:rsidR="00000000" w:rsidDel="00000000" w:rsidP="00000000" w:rsidRDefault="00000000" w:rsidRPr="00000000" w14:paraId="00000010">
      <w:pPr>
        <w:pStyle w:val="Heading2"/>
        <w:spacing w:after="120" w:before="260" w:lineRule="auto"/>
        <w:rPr/>
      </w:pPr>
      <w:r w:rsidDel="00000000" w:rsidR="00000000" w:rsidRPr="00000000">
        <w:rPr>
          <w:rtl w:val="0"/>
        </w:rPr>
        <w:t xml:space="preserve">3.1 Component responsibilities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Excel Task Queue source of truth for pending work (status = To Do/Pending) and destination for results. Read/write via openpyxl, one row per line item.</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Orchestrator polls Excel, groups line items by Order ID, drives the per-item state machine, owns retry/backoff, writes structured logs.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Adapters mplement a common interface (detect_flow_type, initiate_return, capture_result) with Amazon- and Flipkart-specific selectors/navigation inside. New platforms mean a new adapter, not a rewrite.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Playwright Browser Layer one persistent authenticated context per platform (see 3.2), shared by that platform's adapter across runs.</w:t>
      </w:r>
      <w:r w:rsidDel="00000000" w:rsidR="00000000" w:rsidRPr="00000000">
        <w:rPr>
          <w:rtl w:val="0"/>
        </w:rPr>
      </w:r>
    </w:p>
    <w:p w:rsidR="00000000" w:rsidDel="00000000" w:rsidP="00000000" w:rsidRDefault="00000000" w:rsidRPr="00000000" w14:paraId="00000015">
      <w:pPr>
        <w:pStyle w:val="Heading2"/>
        <w:spacing w:after="120" w:before="260" w:lineRule="auto"/>
        <w:rPr/>
      </w:pPr>
      <w:r w:rsidDel="00000000" w:rsidR="00000000" w:rsidRPr="00000000">
        <w:rPr>
          <w:rtl w:val="0"/>
        </w:rPr>
        <w:t xml:space="preserve">3.2 Session persistence (why it matters twice over)</w:t>
      </w:r>
    </w:p>
    <w:p w:rsidR="00000000" w:rsidDel="00000000" w:rsidP="00000000" w:rsidRDefault="00000000" w:rsidRPr="00000000" w14:paraId="00000016">
      <w:pPr>
        <w:spacing w:after="140" w:line="276" w:lineRule="auto"/>
        <w:rPr/>
      </w:pPr>
      <w:r w:rsidDel="00000000" w:rsidR="00000000" w:rsidRPr="00000000">
        <w:rPr>
          <w:rFonts w:ascii="Calibri" w:cs="Calibri" w:eastAsia="Calibri" w:hAnsi="Calibri"/>
          <w:b w:val="0"/>
          <w:bCs w:val="0"/>
          <w:i w:val="0"/>
          <w:iCs w:val="0"/>
          <w:sz w:val="22"/>
          <w:szCs w:val="22"/>
          <w:rtl w:val="0"/>
        </w:rPr>
        <w:t xml:space="preserve">Playwright's storage_state lets us log in once (including the Flipkart OTP step, done manually the first time) and reuse that authenticated session on every subsequent run. This solves two problems at once: it removes OTP from the automated critical path, and it means the platform sees one long-lived, cookie-continuous session instead of a fresh “new device” login every run — which is itself a large part of looking like a normal user rather than a bot (more in Section 6).</w:t>
      </w:r>
      <w:r w:rsidDel="00000000" w:rsidR="00000000" w:rsidRPr="00000000">
        <w:rPr>
          <w:rtl w:val="0"/>
        </w:rPr>
      </w:r>
    </w:p>
    <w:p w:rsidR="00000000" w:rsidDel="00000000" w:rsidP="00000000" w:rsidRDefault="00000000" w:rsidRPr="00000000" w14:paraId="00000017">
      <w:pPr>
        <w:pStyle w:val="Heading1"/>
        <w:spacing w:after="160" w:before="340" w:lineRule="auto"/>
        <w:rPr/>
      </w:pPr>
      <w:r w:rsidDel="00000000" w:rsidR="00000000" w:rsidRPr="00000000">
        <w:rPr>
          <w:rtl w:val="0"/>
        </w:rPr>
        <w:t xml:space="preserve">4. Core Workflow</w:t>
      </w:r>
    </w:p>
    <w:p w:rsidR="00000000" w:rsidDel="00000000" w:rsidP="00000000" w:rsidRDefault="00000000" w:rsidRPr="00000000" w14:paraId="00000018">
      <w:pPr>
        <w:spacing w:after="140" w:line="276" w:lineRule="auto"/>
        <w:rPr/>
      </w:pPr>
      <w:r w:rsidDel="00000000" w:rsidR="00000000" w:rsidRPr="00000000">
        <w:rPr>
          <w:rFonts w:ascii="Calibri" w:cs="Calibri" w:eastAsia="Calibri" w:hAnsi="Calibri"/>
          <w:b w:val="0"/>
          <w:bCs w:val="0"/>
          <w:i w:val="0"/>
          <w:iCs w:val="0"/>
          <w:sz w:val="22"/>
          <w:szCs w:val="22"/>
          <w:rtl w:val="0"/>
        </w:rPr>
        <w:t xml:space="preserve">Per the brief, the loop is: read task → open the right platform → initiate the return → capture the outcome → write back to Excel → mark Done or flag for review. The design elaborates this into an explicit per-line-item state machine so partial order success (Section 5) falls out naturally rather than needing special-cased logic.</w:t>
      </w:r>
      <w:r w:rsidDel="00000000" w:rsidR="00000000" w:rsidRPr="00000000">
        <w:rPr>
          <w:rtl w:val="0"/>
        </w:rPr>
      </w:r>
    </w:p>
    <w:p w:rsidR="00000000" w:rsidDel="00000000" w:rsidP="00000000" w:rsidRDefault="00000000" w:rsidRPr="00000000" w14:paraId="00000019">
      <w:pPr>
        <w:pStyle w:val="Heading2"/>
        <w:spacing w:after="120" w:before="260" w:lineRule="auto"/>
        <w:rPr/>
      </w:pPr>
      <w:r w:rsidDel="00000000" w:rsidR="00000000" w:rsidRPr="00000000">
        <w:rPr>
          <w:rtl w:val="0"/>
        </w:rPr>
        <w:t xml:space="preserve">4.1 Batch vs. sequential flow detection</w:t>
      </w:r>
    </w:p>
    <w:p w:rsidR="00000000" w:rsidDel="00000000" w:rsidP="00000000" w:rsidRDefault="00000000" w:rsidRPr="00000000" w14:paraId="0000001A">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brief flags that some platforms let one return flow cover a whole order (batch) while others require repeating a micro</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z w:val="22"/>
          <w:szCs w:val="22"/>
          <w:rtl w:val="0"/>
        </w:rPr>
        <w:t xml:space="preserve">flow per SKU (sequential). Detection happens once per order, not once per line item:</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first line item of an order: navigate to that order's return entry point and check whether the UI offers a multi-item selection step.</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yes → batch mode: select every eligible line item for that order in one pass, submit once, then parse the confirmation screen for a per-SKU result (return ID, status, refund) to write back individually.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 sequential mode: loop the single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return micro</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flow once per remaining line item on that order.</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Cache the detected mode against the Order ID so the 2nd, 3rd, … line item of the same order doesn't re-detect it.</w:t>
      </w:r>
      <w:r w:rsidDel="00000000" w:rsidR="00000000" w:rsidRPr="00000000">
        <w:rPr>
          <w:rtl w:val="0"/>
        </w:rPr>
      </w:r>
    </w:p>
    <w:p w:rsidR="00000000" w:rsidDel="00000000" w:rsidP="00000000" w:rsidRDefault="00000000" w:rsidRPr="00000000" w14:paraId="0000001F">
      <w:pPr>
        <w:pStyle w:val="Heading1"/>
        <w:spacing w:after="160" w:before="340" w:lineRule="auto"/>
        <w:rPr/>
      </w:pPr>
      <w:r w:rsidDel="00000000" w:rsidR="00000000" w:rsidRPr="00000000">
        <w:rPr>
          <w:rtl w:val="0"/>
        </w:rPr>
        <w:t xml:space="preserve">5. Partial-Success Handling</w:t>
      </w:r>
    </w:p>
    <w:p w:rsidR="00000000" w:rsidDel="00000000" w:rsidP="00000000" w:rsidRDefault="00000000" w:rsidRPr="00000000" w14:paraId="00000020">
      <w:pPr>
        <w:spacing w:after="140" w:line="276" w:lineRule="auto"/>
        <w:rPr/>
      </w:pPr>
      <w:r w:rsidDel="00000000" w:rsidR="00000000" w:rsidRPr="00000000">
        <w:rPr>
          <w:rFonts w:ascii="Calibri" w:cs="Calibri" w:eastAsia="Calibri" w:hAnsi="Calibri"/>
          <w:b w:val="0"/>
          <w:bCs w:val="0"/>
          <w:i w:val="0"/>
          <w:iCs w:val="0"/>
          <w:sz w:val="22"/>
          <w:szCs w:val="22"/>
          <w:rtl w:val="0"/>
        </w:rPr>
        <w:t xml:space="preserve">Directly implementing the brief's five rules: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line item is processed and recorded independently  the state machine has no order-level “all or nothing” branch.</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Ineligible items (e.g. past the return window) are checked before attempting the platform flow, logged with status Out of Window, and the loop continues to the next item.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Eligible items in the same order (A, B) complete normally even if another item (C) fails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nothing about one item's outcome blocks another's.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Failed/ineligible items are written back with an explicit status and land in Needs Human Review, never silently dropped from the sheet.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Order ID is only rolled up to fully Done once every one of its line items has a terminal state (Placed, Out of Window, or Needs Human Review after retries are exhausted).</w:t>
      </w:r>
      <w:r w:rsidDel="00000000" w:rsidR="00000000" w:rsidRPr="00000000">
        <w:rPr>
          <w:rtl w:val="0"/>
        </w:rPr>
      </w:r>
    </w:p>
    <w:p w:rsidR="00000000" w:rsidDel="00000000" w:rsidP="00000000" w:rsidRDefault="00000000" w:rsidRPr="00000000" w14:paraId="00000026">
      <w:pPr>
        <w:spacing w:after="140" w:line="276" w:lineRule="auto"/>
        <w:rPr/>
      </w:pPr>
      <w:r w:rsidDel="00000000" w:rsidR="00000000" w:rsidRPr="00000000">
        <w:rPr>
          <w:rFonts w:ascii="Calibri" w:cs="Calibri" w:eastAsia="Calibri" w:hAnsi="Calibri"/>
          <w:b w:val="0"/>
          <w:bCs w:val="0"/>
          <w:i w:val="0"/>
          <w:iCs w:val="0"/>
          <w:sz w:val="22"/>
          <w:szCs w:val="22"/>
          <w:rtl w:val="0"/>
        </w:rPr>
        <w:t xml:space="preserve">Retry policy distinguishes transient failures from permanent ones retrying a page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z w:val="22"/>
          <w:szCs w:val="22"/>
          <w:rtl w:val="0"/>
        </w:rPr>
        <w:t xml:space="preserve">load timeout is reasonable; retrying “out of window” is not:</w:t>
      </w:r>
      <w:r w:rsidDel="00000000" w:rsidR="00000000" w:rsidRPr="00000000">
        <w:rPr>
          <w:rtl w:val="0"/>
        </w:rPr>
        <w:br w:type="textWrapping"/>
        <w:br w:type="textWrapping"/>
      </w:r>
    </w:p>
    <w:p w:rsidR="00000000" w:rsidDel="00000000" w:rsidP="00000000" w:rsidRDefault="00000000" w:rsidRPr="00000000" w14:paraId="00000027">
      <w:pPr>
        <w:pStyle w:val="Heading1"/>
        <w:spacing w:after="160" w:before="340" w:lineRule="auto"/>
        <w:rPr/>
      </w:pPr>
      <w:r w:rsidDel="00000000" w:rsidR="00000000" w:rsidRPr="00000000">
        <w:rPr>
          <w:rtl w:val="0"/>
        </w:rPr>
        <w:t xml:space="preserve">6. Bot Detection Avoidance</w:t>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b w:val="0"/>
          <w:bCs w:val="0"/>
          <w:i w:val="0"/>
          <w:iCs w:val="0"/>
          <w:sz w:val="22"/>
          <w:szCs w:val="22"/>
          <w:rtl w:val="0"/>
        </w:rPr>
        <w:t xml:space="preserve">Framed correctly, this is a reliability problem, not an arms race: the goal is for the platform to see the same signal a real, returning, logged-in customer would produce, on an account we legitimately operate. That's a materially different (and much safer) design target than trying to defeat anti-fraud systems, and it's also just the more robust engineering choice fingerprint-spoofing tricks tend to be the first thing that breaks.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Persistent authenticated sessions (3.2)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instead of a fresh login-from-scratch every run avoids the highest-signal “new device, new login” pattern entirely.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headed Chromium via Playwright rather than raw HTTP/requests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scraping these are JS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heavy interactive flows anyway, so a real browser is the natural tool, not a workaround.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Human</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paced actions: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rely on Playwright's built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actionability waits, and add small randomized delays between steps, rather than firing actions at mechanical, fixed intervals.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Rate limiting / bounded concurrency: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line items with sane per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concurrency limits and inter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 pacing instead of hammering the site with parallel sessions from one IP.</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Stable device/browser fingerprint per platform (consistent viewport, locale, timezone, user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across runs) rather than a fresh randomized fingerprint every session, which itself reads as suspicious.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Respect robots.txt / rate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 signals and back off on 429/CAPTCHA responses rather than retrying aggressively hitting a wall gracefully is both safer and more polite.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Fonts w:ascii="Calibri" w:cs="Calibri" w:eastAsia="Calibri" w:hAnsi="Calibri"/>
          <w:b w:val="1"/>
          <w:bCs w:val="1"/>
          <w:color w:val="1f4e78"/>
          <w:sz w:val="30"/>
          <w:szCs w:val="30"/>
          <w:rtl w:val="0"/>
        </w:rPr>
        <w:t xml:space="preserve">7. Excel Write-Back Schema</w:t>
      </w:r>
      <w:r w:rsidDel="00000000" w:rsidR="00000000" w:rsidRPr="00000000">
        <w:rPr>
          <w:rtl w:val="0"/>
        </w:rPr>
      </w:r>
    </w:p>
    <w:p w:rsidR="00000000" w:rsidDel="00000000" w:rsidP="00000000" w:rsidRDefault="00000000" w:rsidRPr="00000000" w14:paraId="00000030">
      <w:pPr>
        <w:spacing w:after="140" w:line="276" w:lineRule="auto"/>
        <w:rPr/>
      </w:pPr>
      <w:r w:rsidDel="00000000" w:rsidR="00000000" w:rsidRPr="00000000">
        <w:rPr>
          <w:rFonts w:ascii="Calibri" w:cs="Calibri" w:eastAsia="Calibri" w:hAnsi="Calibri"/>
          <w:b w:val="0"/>
          <w:bCs w:val="0"/>
          <w:i w:val="0"/>
          <w:iCs w:val="0"/>
          <w:sz w:val="22"/>
          <w:szCs w:val="22"/>
          <w:rtl w:val="0"/>
        </w:rPr>
        <w:t xml:space="preserve">Exactly as specified in the brief, at line-item grain:</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700"/>
        <w:tblGridChange w:id="0">
          <w:tblGrid>
            <w:gridCol w:w="2600"/>
            <w:gridCol w:w="2000"/>
            <w:gridCol w:w="4700"/>
          </w:tblGrid>
        </w:tblGridChange>
      </w:tblGrid>
      <w:tr>
        <w:trPr>
          <w:cantSplit w:val="0"/>
          <w:tblHeader w:val="1"/>
        </w:trPr>
        <w:tc>
          <w:tcPr>
            <w:shd w:fill="1f4e78" w:val="clear"/>
            <w:tcMar>
              <w:top w:w="90.0" w:type="dxa"/>
              <w:left w:w="130.0" w:type="dxa"/>
              <w:bottom w:w="90.0" w:type="dxa"/>
              <w:right w:w="130.0" w:type="dxa"/>
            </w:tcMar>
          </w:tcPr>
          <w:p w:rsidR="00000000" w:rsidDel="00000000" w:rsidP="00000000" w:rsidRDefault="00000000" w:rsidRPr="00000000" w14:paraId="00000031">
            <w:pPr>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tl w:val="0"/>
              </w:rPr>
            </w:r>
          </w:p>
        </w:tc>
        <w:tc>
          <w:tcPr>
            <w:shd w:fill="1f4e78" w:val="clear"/>
            <w:tcMar>
              <w:top w:w="90.0" w:type="dxa"/>
              <w:left w:w="130.0" w:type="dxa"/>
              <w:bottom w:w="90.0" w:type="dxa"/>
              <w:right w:w="130.0" w:type="dxa"/>
            </w:tcMa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ffffff"/>
                <w:sz w:val="20"/>
                <w:szCs w:val="20"/>
                <w:rtl w:val="0"/>
              </w:rPr>
              <w:t xml:space="preserve">Written by</w:t>
            </w:r>
            <w:r w:rsidDel="00000000" w:rsidR="00000000" w:rsidRPr="00000000">
              <w:rPr>
                <w:rtl w:val="0"/>
              </w:rPr>
            </w:r>
          </w:p>
        </w:tc>
        <w:tc>
          <w:tcPr>
            <w:shd w:fill="1f4e78" w:val="clear"/>
            <w:tcMar>
              <w:top w:w="90.0" w:type="dxa"/>
              <w:left w:w="130.0" w:type="dxa"/>
              <w:bottom w:w="90.0" w:type="dxa"/>
              <w:right w:w="130.0" w:type="dxa"/>
            </w:tcMar>
          </w:tcPr>
          <w:p w:rsidR="00000000" w:rsidDel="00000000" w:rsidP="00000000" w:rsidRDefault="00000000" w:rsidRPr="00000000" w14:paraId="00000033">
            <w:pP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000000"/>
                <w:sz w:val="20"/>
                <w:szCs w:val="20"/>
                <w:rtl w:val="0"/>
              </w:rPr>
              <w:t xml:space="preserve">Platform</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000000"/>
                <w:sz w:val="20"/>
                <w:szCs w:val="20"/>
                <w:rtl w:val="0"/>
              </w:rPr>
              <w:t xml:space="preserve">Input (pre-filled)</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000000"/>
                <w:sz w:val="20"/>
                <w:szCs w:val="20"/>
                <w:rtl w:val="0"/>
              </w:rPr>
              <w:t xml:space="preserve">Amazon / Flipkart / …</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000000"/>
                <w:sz w:val="20"/>
                <w:szCs w:val="20"/>
                <w:rtl w:val="0"/>
              </w:rPr>
              <w:t xml:space="preserve">Order ID</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000000"/>
                <w:sz w:val="20"/>
                <w:szCs w:val="20"/>
                <w:rtl w:val="0"/>
              </w:rPr>
              <w:t xml:space="preserve">Input (pre-filled)</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000000"/>
                <w:sz w:val="20"/>
                <w:szCs w:val="20"/>
                <w:rtl w:val="0"/>
              </w:rPr>
              <w:t xml:space="preserve">Used to locate the order</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000000"/>
                <w:sz w:val="20"/>
                <w:szCs w:val="20"/>
                <w:rtl w:val="0"/>
              </w:rPr>
              <w:t xml:space="preserve">Product / SKU</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000000"/>
                <w:sz w:val="20"/>
                <w:szCs w:val="20"/>
                <w:rtl w:val="0"/>
              </w:rPr>
              <w:t xml:space="preserve">Input (pre-filled)</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20"/>
                <w:szCs w:val="20"/>
                <w:rtl w:val="0"/>
              </w:rPr>
              <w:t xml:space="preserve">Used to match the line item</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000000"/>
                <w:sz w:val="20"/>
                <w:szCs w:val="20"/>
                <w:rtl w:val="0"/>
              </w:rPr>
              <w:t xml:space="preserve">Return window</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color w:val="000000"/>
                <w:sz w:val="20"/>
                <w:szCs w:val="20"/>
                <w:rtl w:val="0"/>
              </w:rPr>
              <w:t xml:space="preserve">Input / verified</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000000"/>
                <w:sz w:val="20"/>
                <w:szCs w:val="20"/>
                <w:rtl w:val="0"/>
              </w:rPr>
              <w:t xml:space="preserve">Used for eligibility check</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000000"/>
                <w:sz w:val="20"/>
                <w:szCs w:val="20"/>
                <w:rtl w:val="0"/>
              </w:rPr>
              <w:t xml:space="preserve">Return ID</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color w:val="000000"/>
                <w:sz w:val="20"/>
                <w:szCs w:val="20"/>
                <w:rtl w:val="0"/>
              </w:rPr>
              <w:t xml:space="preserve">Agent</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000000"/>
                <w:sz w:val="20"/>
                <w:szCs w:val="20"/>
                <w:rtl w:val="0"/>
              </w:rPr>
              <w:t xml:space="preserve">Captured from the platform</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43">
            <w:pPr>
              <w:rPr/>
            </w:pPr>
            <w:r w:rsidDel="00000000" w:rsidR="00000000" w:rsidRPr="00000000">
              <w:rPr>
                <w:rFonts w:ascii="Calibri" w:cs="Calibri" w:eastAsia="Calibri" w:hAnsi="Calibri"/>
                <w:b w:val="0"/>
                <w:bCs w:val="0"/>
                <w:color w:val="000000"/>
                <w:sz w:val="20"/>
                <w:szCs w:val="20"/>
                <w:rtl w:val="0"/>
              </w:rPr>
              <w:t xml:space="preserve">Return status</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color w:val="000000"/>
                <w:sz w:val="20"/>
                <w:szCs w:val="20"/>
                <w:rtl w:val="0"/>
              </w:rPr>
              <w:t xml:space="preserve">Agent</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color w:val="000000"/>
                <w:sz w:val="20"/>
                <w:szCs w:val="20"/>
                <w:rtl w:val="0"/>
              </w:rPr>
              <w:t xml:space="preserve">Placed / Failed / Out of Window</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color w:val="000000"/>
                <w:sz w:val="20"/>
                <w:szCs w:val="20"/>
                <w:rtl w:val="0"/>
              </w:rPr>
              <w:t xml:space="preserve">Refund amount</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7">
            <w:pPr>
              <w:rPr/>
            </w:pPr>
            <w:r w:rsidDel="00000000" w:rsidR="00000000" w:rsidRPr="00000000">
              <w:rPr>
                <w:rFonts w:ascii="Calibri" w:cs="Calibri" w:eastAsia="Calibri" w:hAnsi="Calibri"/>
                <w:b w:val="0"/>
                <w:bCs w:val="0"/>
                <w:color w:val="000000"/>
                <w:sz w:val="20"/>
                <w:szCs w:val="20"/>
                <w:rtl w:val="0"/>
              </w:rPr>
              <w:t xml:space="preserve">Agent</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8">
            <w:pPr>
              <w:rPr/>
            </w:pPr>
            <w:r w:rsidDel="00000000" w:rsidR="00000000" w:rsidRPr="00000000">
              <w:rPr>
                <w:rFonts w:ascii="Calibri" w:cs="Calibri" w:eastAsia="Calibri" w:hAnsi="Calibri"/>
                <w:b w:val="0"/>
                <w:bCs w:val="0"/>
                <w:color w:val="000000"/>
                <w:sz w:val="20"/>
                <w:szCs w:val="20"/>
                <w:rtl w:val="0"/>
              </w:rPr>
              <w:t xml:space="preserve">As shown by the platform</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49">
            <w:pPr>
              <w:rPr/>
            </w:pPr>
            <w:r w:rsidDel="00000000" w:rsidR="00000000" w:rsidRPr="00000000">
              <w:rPr>
                <w:rFonts w:ascii="Calibri" w:cs="Calibri" w:eastAsia="Calibri" w:hAnsi="Calibri"/>
                <w:b w:val="0"/>
                <w:bCs w:val="0"/>
                <w:color w:val="000000"/>
                <w:sz w:val="20"/>
                <w:szCs w:val="20"/>
                <w:rtl w:val="0"/>
              </w:rPr>
              <w:t xml:space="preserve">Task status</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A">
            <w:pPr>
              <w:rPr/>
            </w:pPr>
            <w:r w:rsidDel="00000000" w:rsidR="00000000" w:rsidRPr="00000000">
              <w:rPr>
                <w:rFonts w:ascii="Calibri" w:cs="Calibri" w:eastAsia="Calibri" w:hAnsi="Calibri"/>
                <w:b w:val="0"/>
                <w:bCs w:val="0"/>
                <w:color w:val="000000"/>
                <w:sz w:val="20"/>
                <w:szCs w:val="20"/>
                <w:rtl w:val="0"/>
              </w:rPr>
              <w:t xml:space="preserve">Agent</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B">
            <w:pPr>
              <w:rPr/>
            </w:pPr>
            <w:r w:rsidDel="00000000" w:rsidR="00000000" w:rsidRPr="00000000">
              <w:rPr>
                <w:rFonts w:ascii="Calibri" w:cs="Calibri" w:eastAsia="Calibri" w:hAnsi="Calibri"/>
                <w:b w:val="0"/>
                <w:bCs w:val="0"/>
                <w:color w:val="000000"/>
                <w:sz w:val="20"/>
                <w:szCs w:val="20"/>
                <w:rtl w:val="0"/>
              </w:rPr>
              <w:t xml:space="preserve">Done / Needs human review</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4C">
            <w:pPr>
              <w:rPr/>
            </w:pPr>
            <w:r w:rsidDel="00000000" w:rsidR="00000000" w:rsidRPr="00000000">
              <w:rPr>
                <w:rFonts w:ascii="Calibri" w:cs="Calibri" w:eastAsia="Calibri" w:hAnsi="Calibri"/>
                <w:b w:val="0"/>
                <w:bCs w:val="0"/>
                <w:color w:val="000000"/>
                <w:sz w:val="20"/>
                <w:szCs w:val="20"/>
                <w:rtl w:val="0"/>
              </w:rPr>
              <w:t xml:space="preserve">Timestamp / log</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D">
            <w:pPr>
              <w:rPr/>
            </w:pPr>
            <w:r w:rsidDel="00000000" w:rsidR="00000000" w:rsidRPr="00000000">
              <w:rPr>
                <w:rFonts w:ascii="Calibri" w:cs="Calibri" w:eastAsia="Calibri" w:hAnsi="Calibri"/>
                <w:b w:val="0"/>
                <w:bCs w:val="0"/>
                <w:color w:val="000000"/>
                <w:sz w:val="20"/>
                <w:szCs w:val="20"/>
                <w:rtl w:val="0"/>
              </w:rPr>
              <w:t xml:space="preserve">Agent</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E">
            <w:pPr>
              <w:rPr/>
            </w:pPr>
            <w:r w:rsidDel="00000000" w:rsidR="00000000" w:rsidRPr="00000000">
              <w:rPr>
                <w:rFonts w:ascii="Calibri" w:cs="Calibri" w:eastAsia="Calibri" w:hAnsi="Calibri"/>
                <w:b w:val="0"/>
                <w:bCs w:val="0"/>
                <w:color w:val="000000"/>
                <w:sz w:val="20"/>
                <w:szCs w:val="20"/>
                <w:rtl w:val="0"/>
              </w:rPr>
              <w:t xml:space="preserve">When the action ran; error note if any</w:t>
            </w:r>
            <w:r w:rsidDel="00000000" w:rsidR="00000000" w:rsidRPr="00000000">
              <w:rPr>
                <w:rtl w:val="0"/>
              </w:rPr>
            </w:r>
          </w:p>
        </w:tc>
      </w:tr>
    </w:tbl>
    <w:p w:rsidR="00000000" w:rsidDel="00000000" w:rsidP="00000000" w:rsidRDefault="00000000" w:rsidRPr="00000000" w14:paraId="0000004F">
      <w:pPr>
        <w:pStyle w:val="Heading1"/>
        <w:spacing w:after="160" w:before="340" w:lineRule="auto"/>
        <w:rPr/>
      </w:pPr>
      <w:r w:rsidDel="00000000" w:rsidR="00000000" w:rsidRPr="00000000">
        <w:rPr>
          <w:rtl w:val="0"/>
        </w:rPr>
        <w:t xml:space="preserve">8. Risks &amp; Limitations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Credential handling the login shown in the brief should never be hardcoded load it from a secrets manager or environment variables, and keep it out of the Excel file and the repo entirely.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OTP is a hard stop for full automation, by design initial (and periodic re-) authentication needs a human to enter the OTP once</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agent should never attempt to read or intercept it programmatically.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Throughput sequential, human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paced browser actions are slow by nature (seconds per item, not milliseconds). Fine for a returns queue</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worth flagging if volume expectations are high.</w:t>
      </w:r>
      <w:r w:rsidDel="00000000" w:rsidR="00000000" w:rsidRPr="00000000">
        <w:rPr>
          <w:rtl w:val="0"/>
        </w:rPr>
      </w:r>
    </w:p>
    <w:p w:rsidR="00000000" w:rsidDel="00000000" w:rsidP="00000000" w:rsidRDefault="00000000" w:rsidRPr="00000000" w14:paraId="00000053">
      <w:pPr>
        <w:pStyle w:val="Heading1"/>
        <w:spacing w:after="160" w:before="340" w:lineRule="auto"/>
        <w:rPr/>
      </w:pPr>
      <w:r w:rsidDel="00000000" w:rsidR="00000000" w:rsidRPr="00000000">
        <w:rPr>
          <w:rtl w:val="0"/>
        </w:rPr>
        <w:t xml:space="preserve">9. Tech Stack</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Playwright (Python) for browser automation better auto</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waiting and multi</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context/session support than Selenium, and first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storage_state for the persistent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design in 3.2.</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openpyxl / pandas for the Excel task queue.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lightweight scheduler (cron, or APScheduler if run as a long</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lived process) to trigger polling runs.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(JSON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lines) logging per task attempt feeds both the Excel “timestamp/log” column and an operational dashboard for the failure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 alerting in Section 8.</w:t>
      </w:r>
      <w:r w:rsidDel="00000000" w:rsidR="00000000" w:rsidRPr="00000000">
        <w:rPr>
          <w:rtl w:val="0"/>
        </w:rPr>
      </w:r>
    </w:p>
    <w:p w:rsidR="00000000" w:rsidDel="00000000" w:rsidP="00000000" w:rsidRDefault="00000000" w:rsidRPr="00000000" w14:paraId="00000058">
      <w:pPr>
        <w:pStyle w:val="Heading1"/>
        <w:spacing w:after="160" w:before="340" w:lineRule="auto"/>
        <w:rPr/>
      </w:pPr>
      <w:r w:rsidDel="00000000" w:rsidR="00000000" w:rsidRPr="00000000">
        <w:rPr>
          <w:rtl w:val="0"/>
        </w:rPr>
        <w:t xml:space="preserve">10. Suggested Rollout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Flipkart test orders only (as scoped), low volume, every result manually spot-checked against the platform.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 the Amazon adapter</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raise volume once Phase 1's failure rate is well understood.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steady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automation with exception-based human review (only Needs Human Review rows get eyes), plus the alerting from Section 8.</w:t>
      </w:r>
      <w:r w:rsidDel="00000000" w:rsidR="00000000" w:rsidRPr="00000000">
        <w:rPr>
          <w:rFonts w:ascii="Calibri" w:cs="Calibri" w:eastAsia="Calibri" w:hAnsi="Calibri"/>
          <w:i w:val="1"/>
          <w:iCs w:val="1"/>
          <w:color w:val="555555"/>
          <w:sz w:val="20"/>
          <w:szCs w:val="20"/>
          <w:rtl w:val="0"/>
        </w:rPr>
        <w:t xml:space="preserve">.</w:t>
      </w:r>
      <w:r w:rsidDel="00000000" w:rsidR="00000000" w:rsidRPr="00000000">
        <w:rPr>
          <w:rtl w:val="0"/>
        </w:rPr>
      </w:r>
    </w:p>
    <w:sectPr>
      <w:head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863" w:hanging="25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4e78"/>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86ab"/>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