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02 · 范围与空间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范围与空间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可插拔的移动与攻击形状规格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02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本册回答一个问题：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"这个棋子能走到哪、能打到谁"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并且让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不同棋子在这件事上手感差异明显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。棋子不直接持有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能打几格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这一事实，而是通过「形状算法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构造参数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基础范围」三段式结构，把范围做成可插拔的数据配置。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范围的可插拔化，是为了让棋子有战术定位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同一个棋盘上，直线穿透的杜林和环切线的甘雨，走位逻辑完全不同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三段式可插拔结构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RangeProviderFactory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按类名实例化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装备加成叠加为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effectiveRange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两阶段语义（高亮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执行）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默认移动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range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3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FreeMoveProvider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默认攻击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range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CircleAttackProvider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ConeParams.angle</w:t>
            </w:r>
            <w:r>
              <w:rPr>
                <w:sz w:val="17"/>
              </w:rPr>
              <w:t xml:space="preserve"> 默认 </w:t>
            </w:r>
            <w:r>
              <w:rPr>
                <w:b/>
                <w:sz w:val="17"/>
              </w:rPr>
              <w:t>60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splashRadius</w:t>
            </w:r>
            <w:r>
              <w:rPr>
                <w:sz w:val="17"/>
              </w:rPr>
              <w:t xml:space="preserve"> 默认 </w:t>
            </w:r>
            <w:r>
              <w:rPr>
                <w:b/>
                <w:sz w:val="17"/>
              </w:rPr>
              <w:t>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参数类仅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3</w:t>
            </w:r>
            <w:r>
              <w:rPr>
                <w:sz w:val="17"/>
              </w:rPr>
              <w:t xml:space="preserve"> 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工厂、装备加成、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、四类高亮均已完成；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参数文档化不完整（仅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AreaAttack</w:t>
            </w:r>
            <w:r>
              <w:rPr>
                <w:sz w:val="17"/>
              </w:rPr>
              <w:t xml:space="preserve"> 已核实）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Assets/Game/Piece/Range/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Move + Attack + RangeProviderFactory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Assets/Game/Piece/Model/PieceData.cs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RangeConfig</w:t>
            </w:r>
            <w:r>
              <w:rPr>
                <w:sz w:val="17"/>
              </w:rPr>
              <w:t xml:space="preserve"> ）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本节说明范围系统要回答什么问题、要给玩家什么手感，以及它在数据流中的位置。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回答一个问题：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"这个棋子能走到哪、能打到谁"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并且让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不同棋子在这件事上手感差异明显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这是设计支柱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P1（空间是资源）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的直接体现：如果所有棋子移动方式一样、攻击范围都是圆形，那么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站位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就退化成算术题。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范围的可插拔化，是为了让棋子有战术定位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同一个棋盘上，直线穿透的杜林和环切线的甘雨，走位逻辑完全不同。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一眼看懂打击面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选中棋子时，蓝色（移动）与红色（攻击）高亮清晰呈现该棋子的空间能力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范围即性格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玩家能通过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它怎么走、怎么打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记住棋子（狙击手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直线远距，刺客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近距环绕）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装备能改空间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装备可以加攻击距离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移动距离，范围在高亮上实时体现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棋盘与地图（提供格子集合与距离）</w:t>
        <w:br/>
        <w:t xml:space="preserve">      ↓</w:t>
        <w:br/>
        <w:t>范围与空间（本册）— 把"格子集合"翻译成"这个棋子能去哪、能打谁"</w:t>
        <w:br/>
        <w:t xml:space="preserve">      ↓</w:t>
        <w:br/>
        <w:t>寻路 · 攻击结算 · 移动动画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本节拆解三段式可插拔结构、</w:t>
      </w:r>
      <w:r>
        <w:rPr>
          <w:color w:val="616161"/>
          <w:sz w:val="20"/>
        </w:rPr>
        <w:t xml:space="preserve">11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个</w:t>
      </w:r>
      <w:r>
        <w:rPr>
          <w:color w:val="616161"/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的能力清单、参数最全的溅射类参数表，以及装备如何叠加到范围上。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三段式可插拔结构（核心设计）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棋子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不直接持有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能打几格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这一事实，而是持有三个东西：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组成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Provider 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providerClassName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string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决定 </w:t>
            </w:r>
            <w:r>
              <w:rPr>
                <w:b/>
                <w:sz w:val="17"/>
              </w:rPr>
              <w:t>形状算法</w:t>
            </w:r>
            <w:r>
              <w:rPr>
                <w:sz w:val="17"/>
              </w:rPr>
              <w:t xml:space="preserve"> （直线？圆形？扇形？）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② </w:t>
            </w:r>
            <w:r>
              <w:rPr>
                <w:b/>
                <w:sz w:val="17"/>
              </w:rPr>
              <w:t>构造参数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providerJsonParams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string, JSON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填充该形状的 </w:t>
            </w:r>
            <w:r>
              <w:rPr>
                <w:b/>
                <w:sz w:val="17"/>
              </w:rPr>
              <w:t>非主范围参数</w:t>
            </w:r>
            <w:r>
              <w:rPr>
                <w:sz w:val="17"/>
              </w:rPr>
              <w:t xml:space="preserve"> （如 </w:t>
            </w:r>
            <w:r>
              <w:rPr>
                <w:rFonts w:ascii="Consolas" w:hAnsi="Consolas"/>
                <w:color w:val="00897B"/>
                <w:sz w:val="17"/>
              </w:rPr>
              <w:t>{"minRange":2}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{"splashRadius":1}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{"angle":60}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③ </w:t>
            </w:r>
            <w:r>
              <w:rPr>
                <w:b/>
                <w:sz w:val="17"/>
              </w:rPr>
              <w:t>基础范围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baseRange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主范围数值； </w:t>
            </w:r>
            <w:r>
              <w:rPr>
                <w:b/>
                <w:sz w:val="17"/>
              </w:rPr>
              <w:t>装备加成在此之上叠加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运行时由 </w:t>
      </w:r>
      <w:r>
        <w:rPr>
          <w:rFonts w:ascii="Consolas" w:hAnsi="Consolas"/>
          <w:color w:val="00897B"/>
          <w:sz w:val="17"/>
        </w:rPr>
        <w:t>RangeProviderFactory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按类名实例化</w:t>
      </w:r>
      <w:r>
        <w:rPr>
          <w:sz w:val="20"/>
        </w:rPr>
        <w:t xml:space="preserve"> Provider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，把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effectiveRange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传进去算格子：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effectiveRange = baseRange + 装备加成(EquipmentMoveRange / EquipmentAttackRange)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为什么这么设计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：新增一种范围形状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不需要改棋子代码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写一个</w:t>
      </w:r>
      <w:r>
        <w:rPr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类、填个类名即可。棋子数据（</w:t>
      </w:r>
      <w:r>
        <w:rPr>
          <w:sz w:val="20"/>
        </w:rPr>
        <w:t>SO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）与算法（代码）解耦，也是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同一套棋子数据能组合出差异很大的空间手感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的实现方式。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Provider 清单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攻击范围（6 种）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 xml:space="preserve">Provider </w:t>
            </w:r>
            <w:r>
              <w:rPr>
                <w:b/>
                <w:color w:val="1A237E"/>
                <w:sz w:val="17"/>
              </w:rPr>
              <w:t xml:space="preserve"> </w:t>
            </w:r>
            <w:r>
              <w:rPr>
                <w:b/>
                <w:color w:val="1A237E"/>
                <w:sz w:val="17"/>
              </w:rPr>
              <w:t>类名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形状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典型用途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已知参数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CircleAttackProvider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圆形（半径内全部）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默认近战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常规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baseRange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LineAttackProvider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直线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穿透型（如杜林）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待核（见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§5.4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ConeAttackProvider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扇形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面向型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angle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（示例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60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，待核）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MinMaxAttackProvider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最小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最大距离环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不能打贴身（如狙击）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minRange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（示例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，待核）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AreaAttackProvider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主目标 + 溅射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AOE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溅射伤害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（参数最多）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RingTangentProvider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环切线 3 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甘雨（决策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D3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baseRange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移动范围（5 种）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 xml:space="preserve">Provider </w:t>
            </w:r>
            <w:r>
              <w:rPr>
                <w:b/>
                <w:color w:val="1A237E"/>
                <w:sz w:val="17"/>
              </w:rPr>
              <w:t xml:space="preserve"> </w:t>
            </w:r>
            <w:r>
              <w:rPr>
                <w:b/>
                <w:color w:val="1A237E"/>
                <w:sz w:val="17"/>
              </w:rPr>
              <w:t>类名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移动方式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FreeMoveProvider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自由（默认）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标准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BFS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，考虑阻挡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StraightMoveProvider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直线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只能沿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个方向直走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FlyMoveProvider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飞行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无视阻挡</w:t>
            </w:r>
            <w:r>
              <w:rPr>
                <w:sz w:val="17"/>
              </w:rPr>
              <w:t xml:space="preserve"> （跨过棋子）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StraightPassProvider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直线穿越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直线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无视阻挡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ParityMoveProvider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奇偶距离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只能走到 </w:t>
            </w:r>
            <w:r>
              <w:rPr>
                <w:b/>
                <w:sz w:val="17"/>
              </w:rPr>
              <w:t>距离奇偶性匹配</w:t>
            </w:r>
            <w:r>
              <w:rPr>
                <w:sz w:val="17"/>
              </w:rPr>
              <w:t xml:space="preserve"> 的格子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3.3 </w:t>
      </w:r>
      <w:r>
        <w:rPr>
          <w:rFonts w:ascii="Consolas" w:hAnsi="Consolas"/>
          <w:b/>
          <w:color w:val="00897B"/>
          <w:sz w:val="17"/>
        </w:rPr>
        <w:t>AreaAttackProvider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参数（溅射类，参数最全）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含义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splashRadius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溅射半径（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0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无溅射，退化为单体）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filterByAttackRange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true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溅射范围是否裁剪到攻击范围内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splashIsElemental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false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溅射是否带元素（附着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触发反应）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splashGoldPercent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溅射造成伤害时获得金币的比例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baseDamage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溅射基础伤害（固定部分）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attackPercent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溅射按攻击力的百分比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Consolas" w:hAnsi="Consolas"/>
          <w:color w:val="00897B"/>
          <w:sz w:val="17"/>
        </w:rPr>
        <w:t>IsSplash =&gt; _splashRadius &gt; 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溅射半径为 0 时该 Provider 退化为普通单体攻击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一个</w:t>
      </w:r>
      <w:r>
        <w:rPr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覆盖单体与</w:t>
      </w:r>
      <w:r>
        <w:rPr>
          <w:sz w:val="20"/>
        </w:rPr>
        <w:t xml:space="preserve"> AOE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两种表现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的开关。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装备对范围的加成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装备的两个字段会叠加到基础范围上：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装备字段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作用对象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bonusAttackRange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攻击范围（ </w:t>
            </w:r>
            <w:r>
              <w:rPr>
                <w:rFonts w:ascii="Consolas" w:hAnsi="Consolas"/>
                <w:color w:val="00897B"/>
                <w:sz w:val="17"/>
              </w:rPr>
              <w:t>attackConfig.baseRange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bonusMoveRange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移动范围（ </w:t>
            </w:r>
            <w:r>
              <w:rPr>
                <w:rFonts w:ascii="Consolas" w:hAnsi="Consolas"/>
                <w:color w:val="00897B"/>
                <w:sz w:val="17"/>
              </w:rPr>
              <w:t>moveConfig.baseRange</w:t>
            </w:r>
            <w:r>
              <w:rPr>
                <w:sz w:val="17"/>
              </w:rPr>
              <w:t xml:space="preserve"> 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叠加后作为 </w:t>
      </w:r>
      <w:r>
        <w:rPr>
          <w:rFonts w:ascii="Consolas" w:hAnsi="Consolas"/>
          <w:b/>
          <w:color w:val="00897B"/>
          <w:sz w:val="17"/>
        </w:rPr>
        <w:t>effectiveRange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传给 Provider</w:t>
      </w:r>
      <w:r>
        <w:rPr>
          <w:sz w:val="20"/>
        </w:rPr>
        <w:t xml:space="preserve">——Provider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内部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只认传入的范围值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，不关心它是否被装备加成过。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本节给出范围计算主公式、四组演算示例，以及移动范围与攻击范围在算法上的四项差异。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范围计算主公式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effectiveRange = baseRange + Σ(已装备的 bonusMoveRange 或 bonusAttackRange)</w:t>
        <w:br/>
        <w:br/>
        <w:t>攻击可达格集合 = Provider(className, jsonParams).GetCoords(from, effectiveRange)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演算示例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1：默认近战棋子的攻击范围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baseRange = 1（CircleAttackProvider）</w:t>
        <w:br/>
        <w:t>未装备加成              → effectiveRange = 1</w:t>
        <w:br/>
        <w:t>圆形范围含自身 = 1 + 6 = 7 格</w:t>
        <w:br/>
        <w:t>排除自身（不能打自己）   → 6 格可攻击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2：装了「探索者护臂」（假设 +1 攻击距离）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effectiveRange = 1 + 1 = 2</w:t>
        <w:br/>
        <w:t>圆形范围(半径2) = 1 + 6 + 12 = 19 格</w:t>
        <w:br/>
        <w:t>排除自身 → 18 格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3：环切线（甘雨 D3）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baseRange = 2（RingTangentProvider）</w:t>
        <w:br/>
        <w:t>取"距离 2 的环"上、与目标同环的左右相邻格 → 目标格 + 2 邻居 = 3 格</w:t>
        <w:br/>
        <w:t>（不含施法者自身所在环）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D3 决策的含义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：六边形棋盘上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横向</w:t>
      </w:r>
      <w:r>
        <w:rPr>
          <w:sz w:val="20"/>
        </w:rPr>
        <w:t xml:space="preserve"> 3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格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没有直觉定义。环切线是唯一几何自洽的解释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先锁定目标所在的那一圈，再取它左右两格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例 4：直线穿透（杜林，假设 baseRange = 3）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baseRange = 3（LineAttackProvider）</w:t>
        <w:br/>
        <w:t>沿朝向的 6 个方向之一，取距离 1、2、3 的格子</w:t>
        <w:br/>
        <w:t>→ 3 格，且不因中间有敌人而停止（穿透语义由 Provider 决定）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移动范围与攻击范围的算法差异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移动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攻击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计算方式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BFS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ChessBoardModel.GetWalkableCoords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几何取格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自算）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是否受阻挡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受影响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不受（攻击范围是空间几何，不管中间有没有人）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是否含起点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✗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含（再由调用方排除自身作为目标）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装备加成字段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bonusMoveRange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bonusAttackRange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这个差异很重要：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攻击范围不是"走得到的格子"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，而是几何形状。所以范围高亮（红）不受地形阻挡影响，而移动高亮（蓝）受。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 xml:space="preserve">本节给出范围侧的四组契约定义：内嵌配置 </w:t>
      </w:r>
      <w:r>
        <w:rPr>
          <w:rFonts w:ascii="Consolas" w:hAnsi="Consolas"/>
          <w:color w:val="00897B"/>
          <w:sz w:val="17"/>
        </w:rPr>
        <w:t>RangeConfig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、</w:t>
      </w:r>
      <w:r>
        <w:rPr>
          <w:rFonts w:ascii="Consolas" w:hAnsi="Consolas"/>
          <w:color w:val="00897B"/>
          <w:sz w:val="17"/>
        </w:rPr>
        <w:t>PieceData</w:t>
      </w:r>
      <w:r>
        <w:rPr>
          <w:color w:val="616161"/>
          <w:sz w:val="20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的范围字段、两个</w:t>
      </w:r>
      <w:r>
        <w:rPr>
          <w:color w:val="616161"/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接口，以及各</w:t>
      </w:r>
      <w:r>
        <w:rPr>
          <w:color w:val="616161"/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已核实的构造参数。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RangeConfig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（PieceData 内嵌类）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数据类型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providerClassName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决定形状算法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CircleAttackProvider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构造参数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JSON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providerJsonParams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string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非主范围参数；无则留空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{"splashRadius":1}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基础范围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baseRange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int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主范围数值，装备加成在此叠加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方法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CreateMoveProvider()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CreateAttackProvider()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内部调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RangeProviderFactory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PieceData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范围相关字段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数据类型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示例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移动范围配置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moveConfig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RangeConfig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默认 </w:t>
            </w:r>
            <w:r>
              <w:rPr>
                <w:rFonts w:ascii="Consolas" w:hAnsi="Consolas"/>
                <w:color w:val="00897B"/>
                <w:sz w:val="17"/>
              </w:rPr>
              <w:t>FreeMoveProvider</w:t>
            </w:r>
            <w:r>
              <w:rPr>
                <w:sz w:val="17"/>
              </w:rPr>
              <w:t xml:space="preserve"> / range 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攻击范围配置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attackConfig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RangeConfig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默认 </w:t>
            </w:r>
            <w:r>
              <w:rPr>
                <w:rFonts w:ascii="Consolas" w:hAnsi="Consolas"/>
                <w:color w:val="00897B"/>
                <w:sz w:val="17"/>
              </w:rPr>
              <w:t>CircleAttackProvider</w:t>
            </w:r>
            <w:r>
              <w:rPr>
                <w:sz w:val="17"/>
              </w:rPr>
              <w:t xml:space="preserve"> / range 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决策 D5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：范围配置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内联在 PieceData 里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，不单独做</w:t>
      </w:r>
      <w:r>
        <w:rPr>
          <w:sz w:val="20"/>
        </w:rPr>
        <w:t xml:space="preserve"> SO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资产层。理由：避免每个棋子产生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个额外资产（</w:t>
      </w:r>
      <w:r>
        <w:rPr>
          <w:sz w:val="20"/>
        </w:rPr>
        <w:t xml:space="preserve">10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棋子</w:t>
      </w:r>
      <w:r>
        <w:rPr>
          <w:sz w:val="20"/>
        </w:rPr>
        <w:t xml:space="preserve"> = 20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个资产），且范围与棋子是强绑定关系，拆开反而难维护。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IAttackRangeProvider</w:t>
      </w:r>
      <w:r>
        <w:rPr>
          <w:rFonts w:ascii="微软雅黑" w:hAnsi="微软雅黑"/>
          <w:b/>
          <w:color w:val="1A237E"/>
          <w:sz w:val="22"/>
        </w:rPr>
        <w:t xml:space="preserve"> / </w:t>
      </w:r>
      <w:r>
        <w:rPr>
          <w:rFonts w:ascii="Consolas" w:hAnsi="Consolas"/>
          <w:b/>
          <w:color w:val="00897B"/>
          <w:sz w:val="17"/>
        </w:rPr>
        <w:t>IMoveRangeProvider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（接口）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IAttackRangeProvider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List&lt;HexCoord&gt; GetAttackZone(HexCoord from, int effectiveRange, HexCoord? target, ChessBoardModel model)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计算攻击作用格集合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IMoveRangeProvider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（返回可移动坐标集合；具体签名待核）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计算可移动格集合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⚠️ 攻击 Provider 的两阶段语义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（以 </w:t>
      </w:r>
      <w:r>
        <w:rPr>
          <w:rFonts w:ascii="Consolas" w:hAnsi="Consolas"/>
          <w:color w:val="00897B"/>
          <w:sz w:val="17"/>
        </w:rPr>
        <w:t>RingTangentProvider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实现为例）：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1A237E"/>
                <w:sz w:val="17"/>
              </w:rPr>
              <w:t>target</w:t>
            </w:r>
            <w:r>
              <w:rPr>
                <w:b/>
                <w:color w:val="1A237E"/>
                <w:sz w:val="17"/>
              </w:rPr>
              <w:t xml:space="preserve"> 取值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返回内容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高亮阶段</w:t>
            </w:r>
            <w:r>
              <w:rPr>
                <w:sz w:val="17"/>
              </w:rPr>
              <w:t xml:space="preserve"> （选中棋子、尚未点目标）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null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effectiveRange</w:t>
            </w:r>
            <w:r>
              <w:rPr>
                <w:sz w:val="17"/>
              </w:rPr>
              <w:t xml:space="preserve"> 半径内的 </w:t>
            </w:r>
            <w:r>
              <w:rPr>
                <w:b/>
                <w:sz w:val="17"/>
              </w:rPr>
              <w:t>可选目标位</w:t>
            </w:r>
            <w:r>
              <w:rPr>
                <w:sz w:val="17"/>
              </w:rPr>
              <w:t xml:space="preserve"> （ </w:t>
            </w:r>
            <w:r>
              <w:rPr>
                <w:b/>
                <w:sz w:val="17"/>
              </w:rPr>
              <w:t>不含施法者自身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执行阶段</w:t>
            </w:r>
            <w:r>
              <w:rPr>
                <w:sz w:val="17"/>
              </w:rPr>
              <w:t xml:space="preserve"> （已点定目标）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具体坐标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实际作用格集合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（环切线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目标格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同环左右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邻居；棋盘外的邻居剔除）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为什么需要两阶段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：高亮时玩家还没决定打哪，只能显示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哪些格子能作为目标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；点定之后，才能算出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这一击实际覆盖哪些格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同一个 Provider 必须能同时回答这两个问题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这是攻击范围</w:t>
      </w:r>
      <w:r>
        <w:rPr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接口设计的关键。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环切线的几何判定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（源码注释特别强调）：同环邻居</w:t>
      </w:r>
      <w:r>
        <w:rPr>
          <w:sz w:val="20"/>
        </w:rPr>
        <w:t xml:space="preserve"> = </w:t>
      </w:r>
      <w:r>
        <w:rPr>
          <w:rFonts w:ascii="Consolas" w:hAnsi="Consolas"/>
          <w:color w:val="00897B"/>
          <w:sz w:val="17"/>
        </w:rPr>
        <w:t>target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</w:t>
      </w:r>
      <w:r>
        <w:rPr>
          <w:sz w:val="20"/>
        </w:rPr>
        <w:t xml:space="preserve"> 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个邻居中、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到 </w:t>
      </w:r>
      <w:r>
        <w:rPr>
          <w:rFonts w:ascii="Consolas" w:hAnsi="Consolas"/>
          <w:b/>
          <w:color w:val="00897B"/>
          <w:sz w:val="17"/>
        </w:rPr>
        <w:t>from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的距离仍等于 </w:t>
      </w:r>
      <w:r>
        <w:rPr>
          <w:rFonts w:ascii="Consolas" w:hAnsi="Consolas"/>
          <w:b/>
          <w:color w:val="00897B"/>
          <w:sz w:val="17"/>
        </w:rPr>
        <w:t>d = Distance(from, target)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的那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必须用 </w:t>
      </w:r>
      <w:r>
        <w:rPr>
          <w:rFonts w:ascii="Consolas" w:hAnsi="Consolas"/>
          <w:b/>
          <w:color w:val="00897B"/>
          <w:sz w:val="17"/>
        </w:rPr>
        <w:t>HexCoord.Distance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判定，不能用"是否相邻"，也不能用"到 target 的距离"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这两个替代写法都会算出错误结果。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实现类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：见</w:t>
      </w:r>
      <w:r>
        <w:rPr>
          <w:sz w:val="20"/>
        </w:rPr>
        <w:t xml:space="preserve"> §3.2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</w:t>
      </w:r>
      <w:r>
        <w:rPr>
          <w:sz w:val="20"/>
        </w:rPr>
        <w:t xml:space="preserve"> 11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</w:t>
      </w:r>
      <w:r>
        <w:rPr>
          <w:sz w:val="20"/>
        </w:rPr>
        <w:t xml:space="preserve"> Provider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5.4 各 Provider 的构造参数（✅ 已核实）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参数类只有 3 个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rFonts w:ascii="Consolas" w:hAnsi="Consolas"/>
          <w:color w:val="00897B"/>
          <w:sz w:val="17"/>
        </w:rPr>
        <w:t>MinMaxParams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ConeParams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定义在 </w:t>
      </w:r>
      <w:r>
        <w:rPr>
          <w:rFonts w:ascii="Consolas" w:hAnsi="Consolas"/>
          <w:color w:val="00897B"/>
          <w:sz w:val="17"/>
        </w:rPr>
        <w:t>RangeProviderFactory.cs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内，</w:t>
      </w:r>
      <w:r>
        <w:rPr>
          <w:rFonts w:ascii="Consolas" w:hAnsi="Consolas"/>
          <w:color w:val="00897B"/>
          <w:sz w:val="17"/>
        </w:rPr>
        <w:t>AreaSplashParams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定义在</w:t>
      </w:r>
      <w:r>
        <w:rPr>
          <w:sz w:val="20"/>
        </w:rPr>
        <w:t xml:space="preserve"> Provider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自身文件内），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其余 Provider 无构造参数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参数字段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默认值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MinMaxAttackProvider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MinMaxParams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minRange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maxRange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ConeAttackProvider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ConeParams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angle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length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60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AreaAttackProvider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AreaSplashParams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splashRadius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filterByAttackRange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splashIsElemental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splashGoldPercent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baseDamage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attackPercent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1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true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false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0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CircleAttackProvider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LineAttackProvider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RingTangentProvider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（源码注释明确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无构造参数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"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FreeMoveProvider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StraightMoveProvider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FlyMoveProvider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StraightPassProvider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ParityMoveProvider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只有 3 种 Provider 需要填 </w:t>
      </w:r>
      <w:r>
        <w:rPr>
          <w:rFonts w:ascii="Consolas" w:hAnsi="Consolas"/>
          <w:b/>
          <w:color w:val="00897B"/>
          <w:sz w:val="17"/>
        </w:rPr>
        <w:t>providerJsonParams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MinMax / Cone / Area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），其余留空即可。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形状本身由几何算法决定：比如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RingTangentProvider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不需要参数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它的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baseRange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就是环的半径，形状（目标格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同环左右</w:t>
      </w:r>
      <w:r>
        <w:rPr>
          <w:sz w:val="20"/>
        </w:rPr>
        <w:t xml:space="preserve"> 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邻居）是算法算出来的。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PieceData.asset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0897B"/>
                <w:sz w:val="17"/>
              </w:rPr>
              <w:t>moveConfig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attackConfig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Inspector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直接填）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实现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Assets/Game/Piece/Range/{Move,Attack}/*.cs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工厂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Assets/Game/Piece/Range/RangeProviderFactory.cs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装备加成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EquipmentData.bonusMoveRange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bonusAttackRange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新增一种范围形状的步骤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Consolas" w:hAnsi="Consolas"/>
          <w:color w:val="00897B"/>
          <w:sz w:val="17"/>
        </w:rPr>
        <w:t>Range/Move/</w:t>
      </w:r>
      <w:r>
        <w:rPr>
          <w:rFonts w:ascii="微软雅黑" w:eastAsia="微软雅黑" w:hAnsi="微软雅黑" w:cs="微软雅黑" w:hint="eastAsia"/>
          <w:lang w:eastAsia="zh-CN"/>
        </w:rPr>
        <w:t xml:space="preserve"> 或 </w:t>
      </w:r>
      <w:r>
        <w:rPr>
          <w:rFonts w:ascii="Consolas" w:hAnsi="Consolas"/>
          <w:color w:val="00897B"/>
          <w:sz w:val="17"/>
        </w:rPr>
        <w:t>Range/Attack/</w:t>
      </w:r>
      <w:r>
        <w:rPr>
          <w:rFonts w:ascii="微软雅黑" w:eastAsia="微软雅黑" w:hAnsi="微软雅黑" w:cs="微软雅黑" w:hint="eastAsia"/>
          <w:lang w:eastAsia="zh-CN"/>
        </w:rPr>
        <w:t xml:space="preserve"> 新建类，实现对应接口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在 </w:t>
      </w:r>
      <w:r>
        <w:rPr>
          <w:rFonts w:ascii="Consolas" w:hAnsi="Consolas"/>
          <w:color w:val="00897B"/>
          <w:sz w:val="17"/>
        </w:rPr>
        <w:t>RangeProviderFactory</w:t>
      </w:r>
      <w:r>
        <w:rPr>
          <w:rFonts w:ascii="微软雅黑" w:eastAsia="微软雅黑" w:hAnsi="微软雅黑" w:cs="微软雅黑" w:hint="eastAsia"/>
          <w:lang w:eastAsia="zh-CN"/>
        </w:rPr>
        <w:t xml:space="preserve"> 里注册类名映射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在棋子的 </w:t>
      </w:r>
      <w:r>
        <w:rPr>
          <w:rFonts w:ascii="Consolas" w:hAnsi="Consolas"/>
          <w:color w:val="00897B"/>
          <w:sz w:val="17"/>
        </w:rPr>
        <w:t>RangeConfig.providerClassName</w:t>
      </w:r>
      <w:r>
        <w:rPr>
          <w:rFonts w:ascii="微软雅黑" w:eastAsia="微软雅黑" w:hAnsi="微软雅黑" w:cs="微软雅黑" w:hint="eastAsia"/>
          <w:lang w:eastAsia="zh-CN"/>
        </w:rPr>
        <w:t xml:space="preserve"> 填类名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如需参数，填 </w:t>
      </w:r>
      <w:r>
        <w:rPr>
          <w:rFonts w:ascii="Consolas" w:hAnsi="Consolas"/>
          <w:color w:val="00897B"/>
          <w:sz w:val="17"/>
        </w:rPr>
        <w:t>providerJsonParams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JSON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不需要改动</w:t>
      </w:r>
      <w:r>
        <w:rPr>
          <w:rFonts w:ascii="微软雅黑" w:eastAsia="微软雅黑" w:hAnsi="微软雅黑" w:cs="微软雅黑" w:hint="eastAsia"/>
          <w:lang w:eastAsia="zh-CN"/>
        </w:rPr>
        <w:t>：棋子逻辑、棋盘、</w:t>
      </w:r>
      <w:r>
        <w:rPr>
          <w:sz w:val="20"/>
        </w:rPr>
        <w:t>UI——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范围是纯数据</w:t>
      </w:r>
      <w:r>
        <w:rPr>
          <w:sz w:val="20"/>
        </w:rPr>
        <w:t xml:space="preserve"> +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工厂实例化。</w:t>
      </w:r>
    </w:p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providerClassName</w:t>
            </w:r>
            <w:r>
              <w:rPr>
                <w:sz w:val="17"/>
              </w:rPr>
              <w:t xml:space="preserve"> 填了不存在的类名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工厂返回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null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报错（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不应静默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providerJsonParams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是非法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JSON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待确认（应报错而非静默用默认值）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baseRange = 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攻击范围退化为仅自身（无可攻击目标）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装备把范围加成到很大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范围计算正常，但高亮性能需注意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溅射半径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filterByAttackRange = true</w:t>
            </w:r>
            <w:r>
              <w:rPr>
                <w:sz w:val="17"/>
              </w:rPr>
              <w:t xml:space="preserve"> 时被裁剪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✓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有参数控制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飞行单位穿过棋子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允许（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FlyMove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语义）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前三项是真实风险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sz w:val="20"/>
        </w:rPr>
        <w:t xml:space="preserve">Provider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类名与</w:t>
      </w:r>
      <w:r>
        <w:rPr>
          <w:sz w:val="20"/>
        </w:rPr>
        <w:t xml:space="preserve"> JSON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参数都是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字符串配置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，填错时如果工厂静默返回</w:t>
      </w:r>
      <w:r>
        <w:rPr>
          <w:sz w:val="20"/>
        </w:rPr>
        <w:t xml:space="preserve"> null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，会表现为</w:t>
      </w:r>
      <w:r>
        <w:rPr>
          <w:sz w:val="20"/>
        </w:rPr>
        <w:t>"</w:t>
      </w:r>
      <w:r>
        <w:rPr>
          <w:rFonts w:ascii="微软雅黑" w:eastAsia="微软雅黑" w:hAnsi="微软雅黑" w:cs="微软雅黑" w:hint="eastAsia"/>
          <w:sz w:val="20"/>
          <w:lang w:eastAsia="zh-CN"/>
        </w:rPr>
        <w:t>棋子不能动也不能打</w:t>
      </w:r>
      <w:r>
        <w:rPr>
          <w:sz w:val="20"/>
        </w:rPr>
        <w:t>"——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这类问题排查成本很高。建议在工厂里对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类名找不到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和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JSON 解析失败</w:t>
      </w:r>
      <w:r>
        <w:rPr>
          <w:rFonts w:ascii="微软雅黑" w:eastAsia="微软雅黑" w:hAnsi="微软雅黑" w:cs="微软雅黑" w:hint="eastAsia"/>
          <w:sz w:val="20"/>
          <w:lang w:eastAsia="zh-CN"/>
        </w:rPr>
        <w:t>显式报警。</w:t>
      </w:r>
    </w:p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移动范围高亮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蓝色叠加层（ </w:t>
            </w:r>
            <w:r>
              <w:rPr>
                <w:rFonts w:ascii="Consolas" w:hAnsi="Consolas"/>
                <w:color w:val="00897B"/>
                <w:sz w:val="17"/>
              </w:rPr>
              <w:t>overlayMoveColor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攻击范围高亮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红色叠加层（ </w:t>
            </w:r>
            <w:r>
              <w:rPr>
                <w:rFonts w:ascii="Consolas" w:hAnsi="Consolas"/>
                <w:color w:val="00897B"/>
                <w:sz w:val="17"/>
              </w:rPr>
              <w:t>overlayAttackColor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敌方攻击范围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浅红（ </w:t>
            </w:r>
            <w:r>
              <w:rPr>
                <w:rFonts w:ascii="Consolas" w:hAnsi="Consolas"/>
                <w:color w:val="00897B"/>
                <w:sz w:val="17"/>
              </w:rPr>
              <w:t>overlayAttackEnemyColor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悬停高亮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紫色（ </w:t>
            </w:r>
            <w:r>
              <w:rPr>
                <w:rFonts w:ascii="Consolas" w:hAnsi="Consolas"/>
                <w:color w:val="00897B"/>
                <w:sz w:val="17"/>
              </w:rPr>
              <w:t>overlayHoverColor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切换移动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攻击预览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</w:t>
            </w:r>
            <w:r>
              <w:rPr>
                <w:sz w:val="17"/>
              </w:rPr>
              <w:t xml:space="preserve"> 键切换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范围形状的视觉差异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不同 Provider 的高亮形状是否明显可区分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（直线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扇形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环切线）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RangeConfig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内联配置（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PieceData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RangeProviderFactory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按类名实例化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装备范围加成叠加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effectiveRange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× 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Circle / Line / Area / Cone / MinMax / RingTangent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× 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Free / Straight / Fly / StraightPass / Parity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高亮呈现（移动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敌方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悬停）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颜色在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GameConfig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参数文档化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不完整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AreaAttack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已核实（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§5.4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1"/>
        </w:numPr>
        <w:spacing w:after="60"/>
        <w:jc w:val="both"/>
      </w:pPr>
      <w:r>
        <w:t xml:space="preserve">Provider </w:t>
      </w:r>
      <w:r>
        <w:rPr>
          <w:rFonts w:ascii="微软雅黑" w:eastAsia="微软雅黑" w:hAnsi="微软雅黑" w:cs="微软雅黑" w:hint="eastAsia"/>
          <w:lang w:eastAsia="zh-CN"/>
        </w:rPr>
        <w:t>参数需逐个核实</w:t>
      </w:r>
      <w:r>
        <w:t xml:space="preserve"> → ✅ </w:t>
      </w:r>
      <w:r>
        <w:rPr>
          <w:rFonts w:ascii="微软雅黑" w:eastAsia="微软雅黑" w:hAnsi="微软雅黑" w:cs="微软雅黑" w:hint="eastAsia"/>
          <w:b/>
          <w:lang w:eastAsia="zh-CN"/>
        </w:rPr>
        <w:t>已完成</w:t>
      </w:r>
      <w:r>
        <w:rPr>
          <w:rFonts w:ascii="微软雅黑" w:eastAsia="微软雅黑" w:hAnsi="微软雅黑" w:cs="微软雅黑" w:hint="eastAsia"/>
          <w:lang w:eastAsia="zh-CN"/>
        </w:rPr>
        <w:t>（见</w:t>
      </w:r>
      <w:r>
        <w:t xml:space="preserve"> §5.4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2026-09-14 </w:t>
      </w:r>
      <w:r>
        <w:rPr>
          <w:rFonts w:ascii="微软雅黑" w:eastAsia="微软雅黑" w:hAnsi="微软雅黑" w:cs="微软雅黑" w:hint="eastAsia"/>
          <w:lang w:eastAsia="zh-CN"/>
        </w:rPr>
        <w:t>补齐：</w:t>
      </w:r>
      <w:r>
        <w:rPr>
          <w:rFonts w:ascii="微软雅黑" w:eastAsia="微软雅黑" w:hAnsi="微软雅黑" w:cs="微软雅黑" w:hint="eastAsia"/>
          <w:b/>
          <w:lang w:eastAsia="zh-CN"/>
        </w:rPr>
        <w:t>参数类仅 3 个</w:t>
      </w:r>
      <w:r>
        <w:t>——MinMax / Cone / AreaSplash</w:t>
      </w:r>
      <w:r>
        <w:rPr>
          <w:rFonts w:ascii="微软雅黑" w:eastAsia="微软雅黑" w:hAnsi="微软雅黑" w:cs="微软雅黑" w:hint="eastAsia"/>
          <w:lang w:eastAsia="zh-CN"/>
        </w:rPr>
        <w:t>，其余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 xml:space="preserve"> Provider </w:t>
      </w:r>
      <w:r>
        <w:rPr>
          <w:rFonts w:ascii="微软雅黑" w:eastAsia="微软雅黑" w:hAnsi="微软雅黑" w:cs="微软雅黑" w:hint="eastAsia"/>
          <w:b/>
          <w:lang w:eastAsia="zh-CN"/>
        </w:rPr>
        <w:t>无构造参数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类名/JSON 填错时的行为</w:t>
      </w:r>
      <w:r>
        <w:rPr>
          <w:rFonts w:ascii="微软雅黑" w:eastAsia="微软雅黑" w:hAnsi="微软雅黑" w:cs="微软雅黑" w:hint="eastAsia"/>
          <w:lang w:eastAsia="zh-CN"/>
        </w:rPr>
        <w:t>：工厂是否显式报错？静默返回</w:t>
      </w:r>
      <w:r>
        <w:t xml:space="preserve"> null </w:t>
      </w:r>
      <w:r>
        <w:rPr>
          <w:rFonts w:ascii="微软雅黑" w:eastAsia="微软雅黑" w:hAnsi="微软雅黑" w:cs="微软雅黑" w:hint="eastAsia"/>
          <w:lang w:eastAsia="zh-CN"/>
        </w:rPr>
        <w:t>会让排查变得困难</w:t>
      </w:r>
      <w:r>
        <w:t xml:space="preserve"> ⚠️ </w:t>
      </w:r>
      <w:r>
        <w:rPr>
          <w:rFonts w:ascii="微软雅黑" w:eastAsia="微软雅黑" w:hAnsi="微软雅黑" w:cs="微软雅黑" w:hint="eastAsia"/>
          <w:b/>
          <w:lang w:eastAsia="zh-CN"/>
        </w:rPr>
        <w:t>仍未确认</w:t>
      </w:r>
    </w:p>
    <w:p>
      <w:pPr>
        <w:pStyle w:val="ListNumber"/>
        <w:numPr>
          <w:ilvl w:val="0"/>
          <w:numId w:val="11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不同形状的高亮是否视觉可区分</w:t>
      </w:r>
      <w:r>
        <w:rPr>
          <w:rFonts w:ascii="微软雅黑" w:eastAsia="微软雅黑" w:hAnsi="微软雅黑" w:cs="微软雅黑" w:hint="eastAsia"/>
          <w:lang w:eastAsia="zh-CN"/>
        </w:rPr>
        <w:t>：直线、扇形、环切线在棋盘上是否能让玩家一眼看出差别</w:t>
      </w:r>
    </w:p>
    <w:p>
      <w:pPr>
        <w:pStyle w:val="ListNumber"/>
        <w:numPr>
          <w:ilvl w:val="0"/>
          <w:numId w:val="11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移动 Provider 的战术差异是否足够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5 </w:t>
      </w:r>
      <w:r>
        <w:rPr>
          <w:rFonts w:ascii="微软雅黑" w:eastAsia="微软雅黑" w:hAnsi="微软雅黑" w:cs="微软雅黑" w:hint="eastAsia"/>
          <w:lang w:eastAsia="zh-CN"/>
        </w:rPr>
        <w:t>种移动方式是否真的带来了不同的走位决策，还是只是数值变体（需</w:t>
      </w:r>
      <w:r>
        <w:t xml:space="preserve"> playtest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Number"/>
        <w:numPr>
          <w:ilvl w:val="0"/>
          <w:numId w:val="11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IMoveRangeProvider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的方法签名未核实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§5.3</w:t>
      </w:r>
      <w:r>
        <w:rPr>
          <w:rFonts w:ascii="微软雅黑" w:eastAsia="微软雅黑" w:hAnsi="微软雅黑" w:cs="微软雅黑" w:hint="eastAsia"/>
          <w:lang w:eastAsia="zh-CN"/>
        </w:rPr>
        <w:t>）：移动</w:t>
      </w:r>
      <w:r>
        <w:t xml:space="preserve"> Provider </w:t>
      </w:r>
      <w:r>
        <w:rPr>
          <w:rFonts w:ascii="微软雅黑" w:eastAsia="微软雅黑" w:hAnsi="微软雅黑" w:cs="微软雅黑" w:hint="eastAsia"/>
          <w:lang w:eastAsia="zh-CN"/>
        </w:rPr>
        <w:t>是否也有类似攻击的</w:t>
      </w:r>
      <w:r>
        <w:rPr>
          <w:rFonts w:ascii="微软雅黑" w:eastAsia="微软雅黑" w:hAnsi="微软雅黑" w:cs="微软雅黑" w:hint="eastAsia"/>
          <w:b/>
          <w:lang w:eastAsia="zh-CN"/>
        </w:rPr>
        <w:t>两阶段语义</w:t>
      </w:r>
      <w:r>
        <w:rPr>
          <w:rFonts w:ascii="微软雅黑" w:eastAsia="微软雅黑" w:hAnsi="微软雅黑" w:cs="微软雅黑" w:hint="eastAsia"/>
          <w:lang w:eastAsia="zh-CN"/>
        </w:rPr>
        <w:t>（高亮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执行）待确认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