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sec_04_回合与资源"/>
      <w:pPr>
        <w:pStyle w:val="Heading1"/>
        <w:spacing w:after="160" w:before="240" w:line="240" w:lineRule="auto"/>
      </w:pPr>
      <w:r>
        <w:rPr>
          <w:rFonts w:ascii="微软雅黑" w:hAnsi="微软雅黑" w:eastAsia="微软雅黑" w:cs="微软雅黑"/>
          <w:b/>
          <w:color w:val="1A237E"/>
          <w:sz w:val="40"/>
        </w:rPr>
        <w:t>04 回合与资源</w:t>
      </w:r>
      <w:bookmarkEnd w:id="1"/>
    </w:p>
    <w:p>
      <w:pPr>
        <w:spacing w:after="0" w:before="0" w:line="240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8"/>
        </w:rPr>
        <w:t>Chaotic Chess 系统分册。全局背景与设计支柱见《</w:t>
      </w:r>
      <w:hyperlink r:id="rId9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ChaoticChess_项目总策划案</w:t>
        </w:r>
      </w:hyperlink>
      <w:r>
        <w:rPr>
          <w:rFonts w:ascii="微软雅黑" w:hAnsi="微软雅黑" w:eastAsia="微软雅黑" w:cs="微软雅黑"/>
          <w:b w:val="0"/>
          <w:color w:val="555555"/>
          <w:sz w:val="18"/>
        </w:rPr>
        <w:t>》。</w:t>
      </w:r>
    </w:p>
    <w:p>
      <w:bookmarkStart w:id="2" w:name="sec_1_文档信息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1. 文档信息</w:t>
      </w:r>
      <w:bookmarkEnd w:id="2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24" w:type="dxa"/>
      </w:tblPr>
      <w:tblGrid>
        <w:gridCol w:w="806"/>
        <w:gridCol w:w="1266"/>
        <w:gridCol w:w="4046"/>
        <w:gridCol w:w="806"/>
      </w:tblGrid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版本号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日期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修改小结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修改人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2026-09-14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首版：基于已实现代码反向补全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v1.1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2026-09-15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回填回合上限与决胜规则设想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v1.2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2026-09-15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时限改为棋钟制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  <w:tr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v2.0</w:t>
            </w:r>
          </w:p>
        </w:tc>
        <w:tc>
          <w:tcPr>
            <w:tcW w:type="dxa" w:w="12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2026-09-17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按系统策划案规范重写，补齐规则、数值与边界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枫</w:t>
            </w:r>
          </w:p>
        </w:tc>
      </w:tr>
    </w:tbl>
    <w:p>
      <w:bookmarkStart w:id="3" w:name="sec_2_概述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2. 概述</w:t>
      </w:r>
      <w:bookmarkEnd w:id="3"/>
    </w:p>
    <w:p>
      <w:bookmarkStart w:id="4" w:name="sec_2_1_设计目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2.1 设计目的</w:t>
      </w:r>
      <w:bookmarkEnd w:id="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本系统回答三个问题：现在轮到谁、这一步能花多少行动点、钱够不够买东西。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合与资源本身不产生乐趣，它是一套约束系统。它的价值在于让每一步都有代价——如果行动点无限、金币无限，那么"空间是资源"与"元素反应"都会失去意义，游戏会退化成把所有棋子的技能挨个放一遍。约束越清晰，前面那些系统的博弈空间才成立。</w:t>
      </w:r>
    </w:p>
    <w:p>
      <w:bookmarkStart w:id="5" w:name="sec_2_2_玩家体验目标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2.2 玩家体验目标</w:t>
      </w:r>
      <w:bookmarkEnd w:id="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166"/>
        <w:gridCol w:w="7134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目标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具体表现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行动有代价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移动、攻击、用道具都消耗行动点，玩家要在"多走一步"和"留着行动点进攻"之间做取舍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收支可见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行动点与金币实时显示在界面上，消耗与入账一眼可见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落后有补偿</w:t>
            </w:r>
          </w:p>
        </w:tc>
        <w:tc>
          <w:tcPr>
            <w:tcW w:type="dxa" w:w="713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承受伤害同样产生金币，被压制的一方不会陷入纯粹的负反馈</w:t>
            </w:r>
          </w:p>
        </w:tc>
      </w:tr>
    </w:tbl>
    <w:p>
      <w:bookmarkStart w:id="6" w:name="sec_2_3_系统定位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2.3 系统定位</w:t>
      </w:r>
      <w:bookmarkEnd w:id="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回合与资源系统位于所有操作系统的上游：它不决定"你能做什么"，而是决定"什么时候能动、能动几次、能动多少钱"。下游的战斗、位移、商店、背包全部要向它申请许可。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861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系统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1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两条资源各自流向不同的下游：行动点单向消耗，用于购买"操作次数"；金币双向流动，既从战斗产出、又向商店与城邦经济支出。</w:t>
      </w:r>
    </w:p>
    <w:p>
      <w:bookmarkStart w:id="7" w:name="sec_2_4_名词解释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2.4 名词解释</w:t>
      </w:r>
      <w:bookmarkEnd w:id="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922" w:type="dxa"/>
      </w:tblPr>
      <w:tblGrid>
        <w:gridCol w:w="986"/>
        <w:gridCol w:w="593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术语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含义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单方的一次完整行动，英文 Turn，是行动点恢复与被动计时的最小单位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大轮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双方各行动一次为一个完整循环，英文 Round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简称 AP，执行操作的通用货币，移动、普攻、大招、道具都要支付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局内货币，只用于购买，不消耗行动点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透支消费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允许余额跌破零、直到透支下限的消费方式，为贸易城邦机制预留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棋钟</w:t>
            </w:r>
          </w:p>
        </w:tc>
        <w:tc>
          <w:tcPr>
            <w:tcW w:type="dxa" w:w="59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每名玩家持有的思考时间池，超时后冻结操作</w:t>
            </w:r>
          </w:p>
        </w:tc>
      </w:tr>
    </w:tbl>
    <w:p>
      <w:bookmarkStart w:id="8" w:name="sec_3_规则与逻辑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3. 规则与逻辑</w:t>
      </w:r>
      <w:bookmarkEnd w:id="8"/>
    </w:p>
    <w:p>
      <w:bookmarkStart w:id="9" w:name="sec_3_1_回合结构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3.1 回合结构</w:t>
      </w:r>
      <w:bookmarkEnd w:id="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回合是时序骨架，所有按时间触发的机制都挂在它上面。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427" w:type="dxa"/>
      </w:tblPr>
      <w:tblGrid>
        <w:gridCol w:w="986"/>
        <w:gridCol w:w="4441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概念</w:t>
            </w:r>
          </w:p>
        </w:tc>
        <w:tc>
          <w:tcPr>
            <w:tcW w:type="dxa" w:w="4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</w:t>
            </w:r>
          </w:p>
        </w:tc>
        <w:tc>
          <w:tcPr>
            <w:tcW w:type="dxa" w:w="4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一方行动一次记为一个回合；当前回合数从 1 开始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大轮</w:t>
            </w:r>
          </w:p>
        </w:tc>
        <w:tc>
          <w:tcPr>
            <w:tcW w:type="dxa" w:w="4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双方各行动一次记为一个大轮；当前大轮数从 1 开始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行动方</w:t>
            </w:r>
          </w:p>
        </w:tc>
        <w:tc>
          <w:tcPr>
            <w:tcW w:type="dxa" w:w="4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当前拥有操作权的一方，在双方之间交替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对局结束</w:t>
            </w:r>
          </w:p>
        </w:tc>
        <w:tc>
          <w:tcPr>
            <w:tcW w:type="dxa" w:w="444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由结束判定方法置位，置位后不再重复触发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回合推进的完整时序如下：玩家点击结束回合，系统切换行动方，若切回先手方则大轮数加一，随后进行对局结束判定，最后回合数加一并广播回合开始事件。</w:t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0500" cy="23138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回合时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3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事件广播是整个时序的关键接口。城邦机制、被动计时、行动点恢复、攻击次数重置全部订阅同一处回合开始事件，这保证了"新回合开始时该刷新的东西一定会被刷新"。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需要特别提醒的术语问题：项目里"回合"一词同时被用于回合与大轮两个概念，包括部分城邦机制的注释都写作"回合（Round）"。因此在本项目内提及周期时，必须带英文或明确写"大轮"，否则"每 4 回合衰减一次"到底是四个回合还是四个大轮，误差是两倍。</w:t>
      </w:r>
    </w:p>
    <w:p>
      <w:bookmarkStart w:id="10" w:name="sec_3_2_行动点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3.2 行动点</w:t>
      </w:r>
      <w:bookmarkEnd w:id="10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行动点按玩家独立记账，先手方与后手方各持有一个互不影响的池子。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2332" w:type="dxa"/>
      </w:tblPr>
      <w:tblGrid>
        <w:gridCol w:w="1166"/>
        <w:gridCol w:w="116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每回合恢复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 点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上限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 点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开局初始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 点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记账方式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按玩家独立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开局行动点为 0，玩家在第一个属于自己的回合开始时恢复到 2 点。这意味着双方的第一回合都没有额外的启动资本。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各类操作的行动点花费：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133" w:type="dxa"/>
      </w:tblPr>
      <w:tblGrid>
        <w:gridCol w:w="1526"/>
        <w:gridCol w:w="3181"/>
        <w:gridCol w:w="242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操作</w:t>
            </w:r>
          </w:p>
        </w:tc>
        <w:tc>
          <w:tcPr>
            <w:tcW w:type="dxa" w:w="31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消耗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附加限制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移动</w:t>
            </w:r>
          </w:p>
        </w:tc>
        <w:tc>
          <w:tcPr>
            <w:tcW w:type="dxa" w:w="31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 点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无次数上限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普通攻击</w:t>
            </w:r>
          </w:p>
        </w:tc>
        <w:tc>
          <w:tcPr>
            <w:tcW w:type="dxa" w:w="31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 点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每棋子每回合仅一次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大招</w:t>
            </w:r>
          </w:p>
        </w:tc>
        <w:tc>
          <w:tcPr>
            <w:tcW w:type="dxa" w:w="31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 点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与普攻共用同一行动点门禁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使用棋盘道具</w:t>
            </w:r>
          </w:p>
        </w:tc>
        <w:tc>
          <w:tcPr>
            <w:tcW w:type="dxa" w:w="31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由道具自身配置，现有道具均为 1 点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仅命中时扣除，取消不扣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购买装备或道具</w:t>
            </w:r>
          </w:p>
        </w:tc>
        <w:tc>
          <w:tcPr>
            <w:tcW w:type="dxa" w:w="31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不消耗行动点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仅消耗金币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移动的行动点消耗与步数解耦——走一格和走六格都是 1 点。这是本系统最需要留意的一条设计口径。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它的后果是：行动点成为唯一的行动节流器，移动距离本身不构成行动点层面的权衡，距离的代价改由两个隐性成本承担——占用棋子的回合机会、暴露在敌方攻击范围内。如果后续实测发现贴脸换位过于廉价、缺乏战术张力，第一顺位的调整方向是把移动改为按格计费，但那属于行为变更，会与现有的固定消耗实现冲突，需单独评估。</w:t>
      </w:r>
    </w:p>
    <w:p>
      <w:bookmarkStart w:id="11" w:name="sec_3_3_金币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3.3 金币</w:t>
      </w:r>
      <w:bookmarkEnd w:id="11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金币同样是按玩家独立的资源，产出绑定在一场交锋的双方身上。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3057" w:type="dxa"/>
      </w:tblPr>
      <w:tblGrid>
        <w:gridCol w:w="1346"/>
        <w:gridCol w:w="1711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规则</w:t>
            </w:r>
          </w:p>
        </w:tc>
        <w:tc>
          <w:tcPr>
            <w:tcW w:type="dxa" w:w="17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开局金币</w:t>
            </w:r>
          </w:p>
        </w:tc>
        <w:tc>
          <w:tcPr>
            <w:tcW w:type="dxa" w:w="17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50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造成伤害产出</w:t>
            </w:r>
          </w:p>
        </w:tc>
        <w:tc>
          <w:tcPr>
            <w:tcW w:type="dxa" w:w="17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每点伤害 1 金币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承受伤害产出</w:t>
            </w:r>
          </w:p>
        </w:tc>
        <w:tc>
          <w:tcPr>
            <w:tcW w:type="dxa" w:w="171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每点伤害 0.3 金币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造成伤害给攻击方、承受伤害给防守方，同一次交锋双方都入账，只是倍率不同。这让落后的防守方被迫获得一部分补偿性收入。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金币有两个消费入口：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938" w:type="dxa"/>
      </w:tblPr>
      <w:tblGrid>
        <w:gridCol w:w="986"/>
        <w:gridCol w:w="2426"/>
        <w:gridCol w:w="152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入口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语义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用途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普通消费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余额不足则直接拒绝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常规购买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透支消费</w:t>
            </w:r>
          </w:p>
        </w:tc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允许跌破零，直到透支下限</w:t>
            </w:r>
          </w:p>
        </w:tc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仅贸易城邦可用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透支消费的准入必须按城邦过滤：只有处于贸易城邦的对局才允许余额跌破零，其余城邦一律走普通消费。判定应在消费发生时动态查询当前城邦类型，而不是在启动时一次性注入全局参数，否则非贸易城邦也会获得透支能力。</w:t>
      </w:r>
    </w:p>
    <w:p>
      <w:bookmarkStart w:id="12" w:name="sec_3_4_背包容量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3.4 背包容量</w:t>
      </w:r>
      <w:bookmarkEnd w:id="1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装备与道具分开计格，同一个人可以带十件装备和十个棋盘道具，互不挤占。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1612" w:type="dxa"/>
      </w:tblPr>
      <w:tblGrid>
        <w:gridCol w:w="986"/>
        <w:gridCol w:w="626"/>
      </w:tblGrid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背包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格数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装备背包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</w:tr>
      <w:tr>
        <w:tc>
          <w:tcPr>
            <w:tcW w:type="dxa" w:w="9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道具背包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这里的实际生效值来自配置资产的覆盖，配置类中的默认值是 5。运行时以资产为准，所以生效容量是 10。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容量决定了购买决策的约束来源：格子较为宽裕，因此买什么更多由金币而非格子决定。是否保留 10 待定。</w:t>
      </w:r>
    </w:p>
    <w:p>
      <w:bookmarkStart w:id="13" w:name="sec_4_数值与公式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4. 数值与公式</w:t>
      </w:r>
      <w:bookmarkEnd w:id="13"/>
    </w:p>
    <w:p>
      <w:bookmarkStart w:id="14" w:name="sec_4_1_行动点恢复公式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4.1 行动点恢复公式</w:t>
      </w:r>
      <w:bookmarkEnd w:id="14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回合开始时按累积制恢复，先加恢复量、再封顶。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本回合行动点 = min(当前行动点 + 2, 4)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封顶而非补满：攒下的行动点会保留，但最多攒到 4 点。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2332" w:type="dxa"/>
      </w:tblPr>
      <w:tblGrid>
        <w:gridCol w:w="1166"/>
        <w:gridCol w:w="116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回合开始前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回合开始后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设计含义：上限 4、每回合加 2，意味着一个回合最多做两件"两点的事"，或者一件四点的大事加一件小事。这个上限直接决定一回合内能做多少决策，是节奏的核心旋钮。若实测觉得玩家一回合能做的事过多，优先调它。</w:t>
      </w:r>
    </w:p>
    <w:p>
      <w:bookmarkStart w:id="15" w:name="sec_4_2_金币产出公式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4.2 金币产出公式</w:t>
      </w:r>
      <w:bookmarkEnd w:id="15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造成伤害所得 = 伤害 × 1.0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承受伤害所得 = 伤害 × 0.3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取整方式：四舍五入（远离零方向）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演算：一次 20 点伤害的交锋，攻击方获得 20 金币，防守方获得 6 金币，双方金币差为 14。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演算：粗估一局的累计收入。假设双方各造成 300 点伤害、各承受 300 点，则每名玩家收入为 300 × 1.0 加 300 × 0.3，等于 390 金币；加上开局的 50，约 440 金币一局。若一件装备售价 50 到 100，则一局大约能买四到八件。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这个数字决定"一局能买几件装备"，即经济是否够用。若实测发现装备买不起，优先调造成伤害的金币产出倍率，而不是下调装备售价——后者会破坏跨局的价格一致性。</w:t>
      </w:r>
    </w:p>
    <w:p>
      <w:bookmarkStart w:id="16" w:name="sec_4_3_对局时长的核算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4.3 对局时长的核算</w:t>
      </w:r>
      <w:bookmarkEnd w:id="16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全局目标是对局落在 20 到 40 分钟区间，回合结构决定了这个目标能否成立。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先看一个结构性事实：生命总量正比于棋子数量，但每回合的有效输出并不随之线性增长，所以打完全场需要的回合数正比于棋子数量。在默认棋子数下，全歼需要约 58 到 87 个回合。这正是时间限制存在的根本原因——多数对局会靠时间收场，而不是靠全灭。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时长核算依赖两个尚未实测的支配变量：每个回合的真实墙钟秒数，以及每回合的有效输出。这两项是首轮 playtest 的第一优先测量目标。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613" w:type="dxa"/>
      </w:tblPr>
      <w:tblGrid>
        <w:gridCol w:w="626"/>
        <w:gridCol w:w="1236"/>
        <w:gridCol w:w="2751"/>
      </w:tblGrid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情形</w:t>
            </w:r>
          </w:p>
        </w:tc>
        <w:tc>
          <w:tcPr>
            <w:tcW w:type="dxa" w:w="1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墙钟估算</w:t>
            </w:r>
          </w:p>
        </w:tc>
        <w:tc>
          <w:tcPr>
            <w:tcW w:type="dxa" w:w="27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与目标区间 20~40 分钟的关系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中位</w:t>
            </w:r>
          </w:p>
        </w:tc>
        <w:tc>
          <w:tcPr>
            <w:tcW w:type="dxa" w:w="1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33~38 分钟</w:t>
            </w:r>
          </w:p>
        </w:tc>
        <w:tc>
          <w:tcPr>
            <w:tcW w:type="dxa" w:w="27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区间内</w:t>
            </w:r>
          </w:p>
        </w:tc>
      </w:tr>
      <w:tr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极端</w:t>
            </w:r>
          </w:p>
        </w:tc>
        <w:tc>
          <w:tcPr>
            <w:tcW w:type="dxa" w:w="123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44~48 分钟</w:t>
            </w:r>
          </w:p>
        </w:tc>
        <w:tc>
          <w:tcPr>
            <w:tcW w:type="dxa" w:w="27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略超上界</w:t>
            </w:r>
          </w:p>
        </w:tc>
      </w:tr>
    </w:tbl>
    <w:p>
      <w:bookmarkStart w:id="17" w:name="sec_4_4_对局时限与平局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4.4 对局时限与平局</w:t>
      </w:r>
      <w:bookmarkEnd w:id="17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时限采用棋钟制。回合计数只用于记录过程，不作为对局终止条件。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98" w:type="dxa"/>
      </w:tblPr>
      <w:tblGrid>
        <w:gridCol w:w="1526"/>
        <w:gridCol w:w="2066"/>
        <w:gridCol w:w="350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参数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时间池（每人）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 分钟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该玩家在自己回合内消耗的思考时间总和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单回合上限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25 秒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单个回合的思考上限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计时口径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仅在该玩家回合内流动</w:t>
            </w:r>
          </w:p>
        </w:tc>
        <w:tc>
          <w:tcPr>
            <w:tcW w:type="dxa" w:w="35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对手回合停表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超时处理：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472" w:type="dxa"/>
      </w:tblPr>
      <w:tblGrid>
        <w:gridCol w:w="2426"/>
        <w:gridCol w:w="4046"/>
      </w:tblGrid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情况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结果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一方时间池耗尽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该方无法进行任何主动操作，其回合自动跳过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超时方的棋子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仍占场，被动仍触发，被反击与光环照常生效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一方超时、另一方有时间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未超时方继续行动，直到全灭对方或自身也耗尽</w:t>
            </w:r>
          </w:p>
        </w:tc>
      </w:tr>
      <w:tr>
        <w:tc>
          <w:tcPr>
            <w:tcW w:type="dxa" w:w="24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双方均耗尽且都有存活棋子</w:t>
            </w:r>
          </w:p>
        </w:tc>
        <w:tc>
          <w:tcPr>
            <w:tcW w:type="dxa" w:w="40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平局，召唤物不计入存活判定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玩家感受上的设计意图：超时不是立即判负，而是"你被冻住、对手还能动"。超时方唯一的不输路径是对手也在耗尽前没能清场，结果是平局。这样时间就成为一个可管理的资源，领先方可以主动用时间换压制，符合读秒制棋类的直觉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不设大轮数上限作为第二条时限。棋钟直接测量墙钟，20 分钟除以 25 秒约等于 48 个回合，与任何合理的回合上限几乎重合，两者是同一约束的两个代理。并存会带来两个问题：一是收场歧义，出现"回合到顶但时间还有"的怪异结局；二是语义污染，两条时限意味着两条平局路径，结算与排位判定都要区分来源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时长复核：若要求极端情况也不超过 40 分钟，时间池需降到每人 16 到 18 分钟；若接受"中位 35、极端 45"，则维持 20 分钟。</w:t>
      </w:r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待实测项：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2026"/>
        <w:gridCol w:w="891"/>
        <w:gridCol w:w="2991"/>
        <w:gridCol w:w="2391"/>
      </w:tblGrid>
      <w:tr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待验证项</w:t>
            </w:r>
          </w:p>
        </w:tc>
        <w:tc>
          <w:tcPr>
            <w:tcW w:type="dxa" w:w="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当前值</w:t>
            </w:r>
          </w:p>
        </w:tc>
        <w:tc>
          <w:tcPr>
            <w:tcW w:type="dxa" w:w="299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假设</w:t>
            </w:r>
          </w:p>
        </w:tc>
        <w:tc>
          <w:tcPr>
            <w:tcW w:type="dxa" w:w="2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验证路径</w:t>
            </w:r>
          </w:p>
        </w:tc>
      </w:tr>
      <w:tr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单回合 25 秒是否偏紧</w:t>
            </w:r>
          </w:p>
        </w:tc>
        <w:tc>
          <w:tcPr>
            <w:tcW w:type="dxa" w:w="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25 秒</w:t>
            </w:r>
          </w:p>
        </w:tc>
        <w:tc>
          <w:tcPr>
            <w:tcW w:type="dxa" w:w="299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一个回合含选子、看范围、走位、攻击、可能放技能，25 秒可能频繁被迫落子</w:t>
            </w:r>
          </w:p>
        </w:tc>
        <w:tc>
          <w:tcPr>
            <w:tcW w:type="dxa" w:w="2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playtest 记录被迫落子的发生率，偏高则放宽到 30~40 秒</w:t>
            </w:r>
          </w:p>
        </w:tc>
      </w:tr>
      <w:tr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时间池取值</w:t>
            </w:r>
          </w:p>
        </w:tc>
        <w:tc>
          <w:tcPr>
            <w:tcW w:type="dxa" w:w="8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 分钟</w:t>
            </w:r>
          </w:p>
        </w:tc>
        <w:tc>
          <w:tcPr>
            <w:tcW w:type="dxa" w:w="299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可能被击穿上界</w:t>
            </w:r>
          </w:p>
        </w:tc>
        <w:tc>
          <w:tcPr>
            <w:tcW w:type="dxa" w:w="239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实机跑满一局，观察是否突破 40 分钟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时限口径：允许平局、采用读秒制时间限制。赛后按剩余棋子数与剩余生命值结算排位分，见《</w:t>
      </w:r>
      <w:hyperlink r:id="rId12">
        <w:r>
          <w:rPr>
            <w:rFonts w:ascii="微软雅黑" w:hAnsi="微软雅黑" w:eastAsia="微软雅黑" w:cs="微软雅黑"/>
            <w:color w:val="1A237E"/>
            <w:u w:val="single"/>
            <w:sz w:val="18"/>
          </w:rPr>
          <w:t xml:space="preserve">19_排位分系统</w:t>
        </w:r>
      </w:hyperlink>
      <w:r>
        <w:rPr>
          <w:rFonts w:ascii="微软雅黑" w:hAnsi="微软雅黑" w:eastAsia="微软雅黑" w:cs="微软雅黑"/>
          <w:b w:val="0"/>
          <w:color w:val="212121"/>
          <w:sz w:val="18"/>
        </w:rPr>
        <w:t>》。</w:t>
      </w:r>
    </w:p>
    <w:p>
      <w:bookmarkStart w:id="18" w:name="sec_5_数据结构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5. 数据结构</w:t>
      </w:r>
      <w:bookmarkEnd w:id="18"/>
    </w:p>
    <w:p>
      <w:bookmarkStart w:id="19" w:name="sec_5_1_回合模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5.1 回合模型</w:t>
      </w:r>
      <w:bookmarkEnd w:id="19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职责：回合计数、对局结束判定、棋子查询。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80" w:type="dxa"/>
      </w:tblPr>
      <w:tblGrid>
        <w:gridCol w:w="1166"/>
        <w:gridCol w:w="1481"/>
        <w:gridCol w:w="806"/>
        <w:gridCol w:w="2966"/>
        <w:gridCol w:w="661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4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字段名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当前回合</w:t>
            </w:r>
          </w:p>
        </w:tc>
        <w:tc>
          <w:tcPr>
            <w:tcW w:type="dxa" w:w="14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CurrentTurn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只读，单方行动计数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3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当前大轮</w:t>
            </w:r>
          </w:p>
        </w:tc>
        <w:tc>
          <w:tcPr>
            <w:tcW w:type="dxa" w:w="14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CurrentRound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只读，双方各行动一次为一个大轮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行动方</w:t>
            </w:r>
          </w:p>
        </w:tc>
        <w:tc>
          <w:tcPr>
            <w:tcW w:type="dxa" w:w="14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ActivePlayer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玩家侧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只读，当前拥有操作权的一方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P1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对局结束</w:t>
            </w:r>
          </w:p>
        </w:tc>
        <w:tc>
          <w:tcPr>
            <w:tcW w:type="dxa" w:w="148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IsGameOver</w:t>
            </w:r>
          </w:p>
        </w:tc>
        <w:tc>
          <w:tcPr>
            <w:tcW w:type="dxa" w:w="8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bool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只读，由结束判定置位</w:t>
            </w:r>
          </w:p>
        </w:tc>
        <w:tc>
          <w:tcPr>
            <w:tcW w:type="dxa" w:w="66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false</w:t>
            </w:r>
          </w:p>
        </w:tc>
      </w:tr>
    </w:tbl>
    <w:p>
      <w:pPr>
        <w:spacing w:after="0" w:before="0" w:line="120" w:lineRule="exact"/>
      </w:pPr>
      <w:r>
        <w:rPr>
          <w:rFonts w:ascii="微软雅黑" w:hAnsi="微软雅黑" w:eastAsia="微软雅黑" w:cs="微软雅黑"/>
          <w:b w:val="0"/>
          <w:color w:val="212121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738" w:type="dxa"/>
      </w:tblPr>
      <w:tblGrid>
        <w:gridCol w:w="1166"/>
        <w:gridCol w:w="2606"/>
        <w:gridCol w:w="296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事件或方法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回合开始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事件，参数为回合数与行动方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某方回合开始，机制计时的挂载点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对局结束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事件，参数为获胜方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对局结束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取棋子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传入玩家侧，返回棋子列表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取某方全部棋子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结束判定</w:t>
            </w:r>
          </w:p>
        </w:tc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返回布尔值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判定对局是否结束，幂等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结束判定是幂等的：一旦置位便提前返回，不会重复广播对局结束事件。</w:t>
      </w:r>
    </w:p>
    <w:p>
      <w:bookmarkStart w:id="20" w:name="sec_5_2_行动点模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5.2 行动点模型</w:t>
      </w:r>
      <w:bookmarkEnd w:id="20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420" w:type="dxa"/>
      </w:tblPr>
      <w:tblGrid>
        <w:gridCol w:w="1526"/>
        <w:gridCol w:w="1576"/>
        <w:gridCol w:w="626"/>
        <w:gridCol w:w="2066"/>
        <w:gridCol w:w="62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15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字段名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每回合基础恢复</w:t>
            </w:r>
          </w:p>
        </w:tc>
        <w:tc>
          <w:tcPr>
            <w:tcW w:type="dxa" w:w="15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BaseAPPerTurn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可读写，来自全局配置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行动点上限</w:t>
            </w:r>
          </w:p>
        </w:tc>
        <w:tc>
          <w:tcPr>
            <w:tcW w:type="dxa" w:w="157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MaxAPCap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可读写，来自全局配置</w:t>
            </w:r>
          </w:p>
        </w:tc>
        <w:tc>
          <w:tcPr>
            <w:tcW w:type="dxa" w:w="6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</w:tr>
    </w:tbl>
    <w:p>
      <w:pPr>
        <w:spacing w:after="0" w:before="0" w:line="120" w:lineRule="exact"/>
      </w:pPr>
      <w:r>
        <w:rPr>
          <w:rFonts w:ascii="微软雅黑" w:hAnsi="微软雅黑" w:eastAsia="微软雅黑" w:cs="微软雅黑"/>
          <w:b w:val="0"/>
          <w:color w:val="212121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6198" w:type="dxa"/>
      </w:tblPr>
      <w:tblGrid>
        <w:gridCol w:w="1166"/>
        <w:gridCol w:w="2966"/>
        <w:gridCol w:w="2066"/>
      </w:tblGrid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事件或方法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行动点变化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事件，参数为玩家侧与最新值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界面订阅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取行动点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传入玩家侧，返回当前值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取某方行动点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是否足够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传入玩家侧与所需量，返回布尔值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够不够花</w:t>
            </w:r>
          </w:p>
        </w:tc>
      </w:tr>
      <w:tr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尝试消耗</w:t>
            </w:r>
          </w:p>
        </w:tc>
        <w:tc>
          <w:tcPr>
            <w:tcW w:type="dxa" w:w="29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传入玩家侧与所需量，返回布尔值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够才扣，返回是否成功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注意是"尝试消耗"而非"消耗"：模型层只做带校验的扣减，外层管理器的消耗接口是它的包装，额外只加日志。调用方必须先确认是否足够。</w:t>
      </w:r>
    </w:p>
    <w:p>
      <w:bookmarkStart w:id="21" w:name="sec_5_3_金币模型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5.3 金币模型</w:t>
      </w:r>
      <w:bookmarkEnd w:id="21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1526"/>
        <w:gridCol w:w="2451"/>
        <w:gridCol w:w="656"/>
        <w:gridCol w:w="2500"/>
        <w:gridCol w:w="116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字段中文名</w:t>
            </w:r>
          </w:p>
        </w:tc>
        <w:tc>
          <w:tcPr>
            <w:tcW w:type="dxa" w:w="24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字段名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类型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示例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造成伤害产出率</w:t>
            </w:r>
          </w:p>
        </w:tc>
        <w:tc>
          <w:tcPr>
            <w:tcW w:type="dxa" w:w="24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GoldPerDamage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可读写，每点伤害的金币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承受伤害产出率</w:t>
            </w:r>
          </w:p>
        </w:tc>
        <w:tc>
          <w:tcPr>
            <w:tcW w:type="dxa" w:w="24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GoldPerDamageReceived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float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可读写，每点承受伤害的金币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开局金币</w:t>
            </w:r>
          </w:p>
        </w:tc>
        <w:tc>
          <w:tcPr>
            <w:tcW w:type="dxa" w:w="24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StartingGold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可读写，来自全局配置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50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透支下限</w:t>
            </w:r>
          </w:p>
        </w:tc>
        <w:tc>
          <w:tcPr>
            <w:tcW w:type="dxa" w:w="245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OverdraftFloor</w:t>
            </w:r>
          </w:p>
        </w:tc>
        <w:tc>
          <w:tcPr>
            <w:tcW w:type="dxa" w:w="65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int</w:t>
            </w:r>
          </w:p>
        </w:tc>
        <w:tc>
          <w:tcPr>
            <w:tcW w:type="dxa" w:w="250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可读写，由贸易配置注入，当前全局生效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见贸易城邦</w:t>
            </w:r>
          </w:p>
        </w:tc>
      </w:tr>
    </w:tbl>
    <w:p>
      <w:pPr>
        <w:spacing w:after="0" w:before="0" w:line="120" w:lineRule="exact"/>
      </w:pPr>
      <w:r>
        <w:rPr>
          <w:rFonts w:ascii="微软雅黑" w:hAnsi="微软雅黑" w:eastAsia="微软雅黑" w:cs="微软雅黑"/>
          <w:b w:val="0"/>
          <w:color w:val="212121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838" w:type="dxa"/>
      </w:tblPr>
      <w:tblGrid>
        <w:gridCol w:w="1346"/>
        <w:gridCol w:w="2786"/>
        <w:gridCol w:w="1706"/>
      </w:tblGrid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事件或方法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签名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说明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金币结算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事件，参数为玩家侧与余额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界面订阅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取余额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传入玩家侧，返回余额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取某方金币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伤害换算金币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传入伤害与倍率，返回整数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四舍五入后取整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普通消费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传入玩家侧与金额，返回布尔值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不足则拒绝</w:t>
            </w:r>
          </w:p>
        </w:tc>
      </w:tr>
      <w:tr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透支消费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传入玩家侧与金额，返回布尔值</w:t>
            </w:r>
          </w:p>
        </w:tc>
        <w:tc>
          <w:tcPr>
            <w:tcW w:type="dxa" w:w="17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可跌破零直到下限</w:t>
            </w:r>
          </w:p>
        </w:tc>
      </w:tr>
    </w:tbl>
    <w:p>
      <w:bookmarkStart w:id="22" w:name="sec_5_4_玩家侧枚举"/>
      <w:pPr>
        <w:pStyle w:val="Heading3"/>
        <w:spacing w:after="60" w:before="120" w:line="240" w:lineRule="auto"/>
      </w:pPr>
      <w:r>
        <w:rPr>
          <w:rFonts w:ascii="微软雅黑" w:hAnsi="微软雅黑" w:eastAsia="微软雅黑" w:cs="微软雅黑"/>
          <w:b/>
          <w:color w:val="1A237E"/>
          <w:sz w:val="20"/>
        </w:rPr>
        <w:t>5.4 玩家侧枚举</w:t>
      </w:r>
      <w:bookmarkEnd w:id="22"/>
    </w:p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行动点与金币均以玩家侧为键独立记账，枚举包含先手方与后手方两个值。所有涉及资源配置的接口都要求显式传入玩家侧，不存在"当前玩家"的隐式状态，这避免了回合切换瞬间的记账错位。</w:t>
      </w:r>
    </w:p>
    <w:p>
      <w:bookmarkStart w:id="23" w:name="sec_6_配置与资源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6. 配置与资源</w:t>
      </w:r>
      <w:bookmarkEnd w:id="23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478" w:type="dxa"/>
      </w:tblPr>
      <w:tblGrid>
        <w:gridCol w:w="1526"/>
        <w:gridCol w:w="2786"/>
        <w:gridCol w:w="1166"/>
      </w:tblGrid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配置项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位置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值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每回合行动点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全局配置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行动点上限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全局配置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开局金币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全局配置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50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造成伤害产出率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全局配置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承受伤害产出率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全局配置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0.3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装备背包格数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全局配置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道具背包格数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全局配置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10</w:t>
            </w:r>
          </w:p>
        </w:tc>
      </w:tr>
      <w:tr>
        <w:tc>
          <w:tcPr>
            <w:tcW w:type="dxa" w:w="15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透支下限</w:t>
            </w:r>
          </w:p>
        </w:tc>
        <w:tc>
          <w:tcPr>
            <w:tcW w:type="dxa" w:w="27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贸易配置，运行时注入金币模型</w:t>
            </w:r>
          </w:p>
        </w:tc>
        <w:tc>
          <w:tcPr>
            <w:tcW w:type="dxa" w:w="11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见贸易城邦</w:t>
            </w:r>
          </w:p>
        </w:tc>
      </w:tr>
    </w:tbl>
    <w:p>
      <w:pPr>
        <w:spacing w:after="0" w:before="0" w:line="240" w:lineRule="auto"/>
      </w:pPr>
      <w:r>
        <w:rPr>
          <w:rFonts w:ascii="微软雅黑" w:hAnsi="微软雅黑" w:eastAsia="微软雅黑" w:cs="微软雅黑"/>
          <w:b w:val="0"/>
          <w:color w:val="212121"/>
          <w:sz w:val="18"/>
        </w:rPr>
        <w:t>全部集中在全局配置资产内，不要在代码里写魔数。注意配置类中的字段默认值与资产中的实际值可能不一致，运行时以资产为准——背包容量就是这种情形（默认 5、资产 10）。</w:t>
      </w:r>
    </w:p>
    <w:p>
      <w:bookmarkStart w:id="24" w:name="sec_7_边界与异常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7. 边界与异常</w:t>
      </w:r>
      <w:bookmarkEnd w:id="24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7098" w:type="dxa"/>
      </w:tblPr>
      <w:tblGrid>
        <w:gridCol w:w="2066"/>
        <w:gridCol w:w="3686"/>
        <w:gridCol w:w="1346"/>
      </w:tblGrid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场景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期望行为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行动点不足时发起操作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拒绝，界面应预先禁用该操作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行动点超出上限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回合开始时封顶而非溢出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金币不足购买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拒绝消费，不扣款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金币透支为负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仅贸易城邦允许到透支下限，其余城邦拒绝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待按城邦过滤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同时触发对局结束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结束判定幂等，不重复广播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某方棋子全灭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判负，具体规则见死亡与胜负分册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城邦特殊败北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由对应城邦管理器判定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单方时间耗尽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冻结该方操作、自动跳过回合，棋子不撤场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双方时间均耗尽</w:t>
            </w:r>
          </w:p>
        </w:tc>
        <w:tc>
          <w:tcPr>
            <w:tcW w:type="dxa" w:w="368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平局，召唤物不计入存活判定</w:t>
            </w:r>
          </w:p>
        </w:tc>
        <w:tc>
          <w:tcPr>
            <w:tcW w:type="dxa" w:w="13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</w:tbl>
    <w:p>
      <w:bookmarkStart w:id="25" w:name="sec_8_美术与_UI_需求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8. 美术与 UI 需求</w:t>
      </w:r>
      <w:bookmarkEnd w:id="25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5352" w:type="dxa"/>
      </w:tblPr>
      <w:tblGrid>
        <w:gridCol w:w="2606"/>
        <w:gridCol w:w="2746"/>
      </w:tblGrid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需求点</w:t>
            </w:r>
          </w:p>
        </w:tc>
        <w:tc>
          <w:tcPr>
            <w:tcW w:type="dxa" w:w="27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现状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行动点显示</w:t>
            </w:r>
          </w:p>
        </w:tc>
        <w:tc>
          <w:tcPr>
            <w:tcW w:type="dxa" w:w="27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已有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金币显示</w:t>
            </w:r>
          </w:p>
        </w:tc>
        <w:tc>
          <w:tcPr>
            <w:tcW w:type="dxa" w:w="27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已有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回合与大轮显示</w:t>
            </w:r>
          </w:p>
        </w:tc>
        <w:tc>
          <w:tcPr>
            <w:tcW w:type="dxa" w:w="27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已有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结束回合按钮</w:t>
            </w:r>
          </w:p>
        </w:tc>
        <w:tc>
          <w:tcPr>
            <w:tcW w:type="dxa" w:w="27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已有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背包侧栏</w:t>
            </w:r>
          </w:p>
        </w:tc>
        <w:tc>
          <w:tcPr>
            <w:tcW w:type="dxa" w:w="27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已有，装备与道具分区各 10 格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行动点不足时的按钮禁用反馈</w:t>
            </w:r>
          </w:p>
        </w:tc>
        <w:tc>
          <w:tcPr>
            <w:tcW w:type="dxa" w:w="27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金币增减的金币跳字或动画</w:t>
            </w:r>
          </w:p>
        </w:tc>
        <w:tc>
          <w:tcPr>
            <w:tcW w:type="dxa" w:w="27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待确认，见跳字系统分册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棋钟与倒计时显示</w:t>
            </w:r>
          </w:p>
        </w:tc>
        <w:tc>
          <w:tcPr>
            <w:tcW w:type="dxa" w:w="27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未实现，随棋钟机制一并补充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超时冻结的界面表现</w:t>
            </w:r>
          </w:p>
        </w:tc>
        <w:tc>
          <w:tcPr>
            <w:tcW w:type="dxa" w:w="274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</w:tbl>
    <w:p>
      <w:bookmarkStart w:id="26" w:name="sec_9_迭代与验收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9. 迭代与验收</w:t>
      </w:r>
      <w:bookmarkEnd w:id="26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4672" w:type="dxa"/>
      </w:tblPr>
      <w:tblGrid>
        <w:gridCol w:w="2606"/>
        <w:gridCol w:w="2066"/>
      </w:tblGrid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功能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状态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回合与大轮流转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回合开始事件广播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行动点恢复与封顶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行动点按玩家独立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金币产出（造成与承受伤害）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金币按玩家独立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普通消费与透支消费双入口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背包容量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对局结束判定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完成，含城邦特殊规则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棋钟与超时冻结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  <w:tr>
        <w:tc>
          <w:tcPr>
            <w:tcW w:type="dxa" w:w="260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平局判定</w:t>
            </w:r>
          </w:p>
        </w:tc>
        <w:tc>
          <w:tcPr>
            <w:tcW w:type="dxa" w:w="206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未实现</w:t>
            </w:r>
          </w:p>
        </w:tc>
      </w:tr>
    </w:tbl>
    <w:p>
      <w:bookmarkStart w:id="27" w:name="sec_10_待确认事项"/>
      <w:pPr>
        <w:pStyle w:val="Heading2"/>
        <w:spacing w:after="80" w:before="160" w:line="240" w:lineRule="auto"/>
      </w:pPr>
      <w:r>
        <w:rPr>
          <w:rFonts w:ascii="微软雅黑" w:hAnsi="微软雅黑" w:eastAsia="微软雅黑" w:cs="微软雅黑"/>
          <w:b/>
          <w:color w:val="1A237E"/>
          <w:sz w:val="22"/>
        </w:rPr>
        <w:t>10. 待确认事项</w:t>
      </w:r>
      <w:bookmarkEnd w:id="27"/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w="8300" w:type="dxa"/>
      </w:tblPr>
      <w:tblGrid>
        <w:gridCol w:w="2026"/>
        <w:gridCol w:w="2730"/>
        <w:gridCol w:w="3543"/>
      </w:tblGrid>
      <w:tr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待确认项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现状</w:t>
            </w:r>
          </w:p>
        </w:tc>
        <w:tc>
          <w:tcPr>
            <w:tcW w:type="dxa" w:w="35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12" w:color="000000"/>
              <w:bottom w:val="single" w:sz="4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处理方向</w:t>
            </w:r>
          </w:p>
        </w:tc>
      </w:tr>
      <w:tr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棋钟制是否落地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仅有规则，尚未实现</w:t>
            </w:r>
          </w:p>
        </w:tc>
        <w:tc>
          <w:tcPr>
            <w:tcW w:type="dxa" w:w="35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确认后立项实现计时器与超时冻结</w:t>
            </w:r>
          </w:p>
        </w:tc>
      </w:tr>
      <w:tr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时间池取值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20 分钟，可能导致极端情形超 40 分钟</w:t>
            </w:r>
          </w:p>
        </w:tc>
        <w:tc>
          <w:tcPr>
            <w:tcW w:type="dxa" w:w="35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若要求极端不超上限则降到 16~18 分钟</w:t>
            </w:r>
          </w:p>
        </w:tc>
      </w:tr>
      <w:tr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单回合 25 秒是否偏紧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待实测</w:t>
            </w:r>
          </w:p>
        </w:tc>
        <w:tc>
          <w:tcPr>
            <w:tcW w:type="dxa" w:w="35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playtest 记录被迫落子率，偏高则放宽到 30~40 秒</w:t>
            </w:r>
          </w:p>
        </w:tc>
      </w:tr>
      <w:tr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透支按城邦过滤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待实现，当前全局生效</w:t>
            </w:r>
          </w:p>
        </w:tc>
        <w:tc>
          <w:tcPr>
            <w:tcW w:type="dxa" w:w="35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改为消费时动态查询城邦类型，仅贸易城邦放行</w:t>
            </w:r>
          </w:p>
        </w:tc>
      </w:tr>
      <w:tr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背包容量是否保留 10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资产覆盖为 10</w:t>
            </w:r>
          </w:p>
        </w:tc>
        <w:tc>
          <w:tcPr>
            <w:tcW w:type="dxa" w:w="35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结合经济实测决定</w:t>
            </w:r>
          </w:p>
        </w:tc>
      </w:tr>
      <w:tr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行动点上限取值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4 点</w:t>
            </w:r>
          </w:p>
        </w:tc>
        <w:tc>
          <w:tcPr>
            <w:tcW w:type="dxa" w:w="35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决定一回合的决策容量，实机确认</w:t>
            </w:r>
          </w:p>
        </w:tc>
      </w:tr>
      <w:tr>
        <w:tc>
          <w:tcPr>
            <w:tcW w:type="dxa" w:w="2026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一局金币是否够用</w:t>
            </w:r>
          </w:p>
        </w:tc>
        <w:tc>
          <w:tcPr>
            <w:tcW w:type="dxa" w:w="2731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粗估约 440 一局</w:t>
            </w:r>
          </w:p>
        </w:tc>
        <w:tc>
          <w:tcPr>
            <w:tcW w:type="dxa" w:w="3543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nil"/>
              <w:bottom w:val="single" w:sz="12" w:color="000000"/>
              <w:left w:val="nil"/>
              <w:right w:val="nil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12121"/>
                <w:sz w:val="18"/>
              </w:rPr>
              <w:t>实测一局能买几件装备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微软雅黑" w:hAnsi="微软雅黑" w:eastAsia="微软雅黑" w:cs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40" w:lineRule="auto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ChaoticChess_&#39033;&#30446;&#24635;&#31574;&#21010;&#26696;.docx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19_&#25490;&#20301;&#20998;&#31995;&#32479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