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3" w:name="sec_06_元素反应"/>
      <w:pPr>
        <w:pStyle w:val="Heading1"/>
        <w:spacing w:after="160" w:before="240" w:line="240" w:lineRule="auto"/>
      </w:pPr>
      <w:r>
        <w:rPr>
          <w:rFonts w:ascii="微软雅黑" w:hAnsi="微软雅黑" w:eastAsia="微软雅黑" w:cs="微软雅黑"/>
          <w:b/>
          <w:color w:val="1A237E"/>
          <w:sz w:val="40"/>
        </w:rPr>
        <w:t>06 元素反应</w:t>
      </w:r>
      <w:bookmarkEnd w:id="53"/>
    </w:p>
    <w:p>
      <w:pPr>
        <w:spacing w:after="0" w:before="0" w:line="240" w:lineRule="auto"/>
        <w:ind w:left="280"/>
      </w:pPr>
      <w:r>
        <w:rPr>
          <w:rFonts w:ascii="微软雅黑" w:hAnsi="微软雅黑" w:eastAsia="微软雅黑" w:cs="微软雅黑"/>
          <w:b w:val="0"/>
          <w:color w:val="555555"/>
          <w:sz w:val="18"/>
        </w:rPr>
        <w:t>Chaotic Chess 系统分册。全局背景与设计支柱见《</w:t>
      </w:r>
      <w:hyperlink r:id="rId9">
        <w:r>
          <w:rPr>
            <w:rFonts w:ascii="微软雅黑" w:hAnsi="微软雅黑" w:eastAsia="微软雅黑" w:cs="微软雅黑"/>
            <w:color w:val="1A237E"/>
            <w:u w:val="single"/>
            <w:sz w:val="18"/>
          </w:rPr>
          <w:t xml:space="preserve">ChaoticChess_项目总策划案</w:t>
        </w:r>
      </w:hyperlink>
      <w:r>
        <w:rPr>
          <w:rFonts w:ascii="微软雅黑" w:hAnsi="微软雅黑" w:eastAsia="微软雅黑" w:cs="微软雅黑"/>
          <w:b w:val="0"/>
          <w:color w:val="555555"/>
          <w:sz w:val="18"/>
        </w:rPr>
        <w:t>》。</w:t>
      </w:r>
    </w:p>
    <w:p>
      <w:bookmarkStart w:id="54" w:name="sec_1_文档信息"/>
      <w:pPr>
        <w:pStyle w:val="Heading2"/>
        <w:spacing w:after="80" w:before="160" w:line="240" w:lineRule="auto"/>
      </w:pPr>
      <w:r>
        <w:rPr>
          <w:rFonts w:ascii="微软雅黑" w:hAnsi="微软雅黑" w:eastAsia="微软雅黑" w:cs="微软雅黑"/>
          <w:b/>
          <w:color w:val="1A237E"/>
          <w:sz w:val="22"/>
        </w:rPr>
        <w:t>1. 文档信息</w:t>
      </w:r>
      <w:bookmarkEnd w:id="54"/>
    </w:p>
    <w:tbl>
      <w:tblPr>
        <w:tblW w:type="auto" w:w="0"/>
        <w:jc w:val="center"/>
        <w:tblLook w:firstColumn="1" w:firstRow="1" w:lastColumn="0" w:lastRow="0" w:noHBand="0" w:noVBand="1" w:val="04A0"/>
        <w:tblLayout w:type="fixed"/>
        <w:tblW w:w="6924" w:type="dxa"/>
      </w:tblPr>
      <w:tblGrid>
        <w:gridCol w:w="806"/>
        <w:gridCol w:w="1266"/>
        <w:gridCol w:w="4046"/>
        <w:gridCol w:w="806"/>
      </w:tblGrid>
      <w:tr>
        <w:tc>
          <w:tcPr>
            <w:tcW w:type="dxa" w:w="8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版本号</w:t>
            </w:r>
          </w:p>
        </w:tc>
        <w:tc>
          <w:tcPr>
            <w:tcW w:type="dxa" w:w="12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日期</w:t>
            </w:r>
          </w:p>
        </w:tc>
        <w:tc>
          <w:tcPr>
            <w:tcW w:type="dxa" w:w="40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修改小结</w:t>
            </w:r>
          </w:p>
        </w:tc>
        <w:tc>
          <w:tcPr>
            <w:tcW w:type="dxa" w:w="8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修改人</w:t>
            </w:r>
          </w:p>
        </w:tc>
      </w:tr>
      <w:tr>
        <w:tc>
          <w:tcPr>
            <w:tcW w:type="dxa" w:w="8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v1.0</w:t>
            </w:r>
          </w:p>
        </w:tc>
        <w:tc>
          <w:tcPr>
            <w:tcW w:type="dxa" w:w="12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2026-09-14</w:t>
            </w:r>
          </w:p>
        </w:tc>
        <w:tc>
          <w:tcPr>
            <w:tcW w:type="dxa" w:w="40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首版：基于已实现代码反向补全</w:t>
            </w:r>
          </w:p>
        </w:tc>
        <w:tc>
          <w:tcPr>
            <w:tcW w:type="dxa" w:w="8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枫</w:t>
            </w:r>
          </w:p>
        </w:tc>
      </w:tr>
      <w:tr>
        <w:tc>
          <w:tcPr>
            <w:tcW w:type="dxa" w:w="8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v2.0</w:t>
            </w:r>
          </w:p>
        </w:tc>
        <w:tc>
          <w:tcPr>
            <w:tcW w:type="dxa" w:w="12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2026-09-17</w:t>
            </w:r>
          </w:p>
        </w:tc>
        <w:tc>
          <w:tcPr>
            <w:tcW w:type="dxa" w:w="40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按系统策划案规范重写，补齐规则、数值与边界</w:t>
            </w:r>
          </w:p>
        </w:tc>
        <w:tc>
          <w:tcPr>
            <w:tcW w:type="dxa" w:w="8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枫</w:t>
            </w:r>
          </w:p>
        </w:tc>
      </w:tr>
    </w:tbl>
    <w:p>
      <w:bookmarkStart w:id="55" w:name="sec_2_概述"/>
      <w:pPr>
        <w:pStyle w:val="Heading2"/>
        <w:spacing w:after="80" w:before="160" w:line="240" w:lineRule="auto"/>
      </w:pPr>
      <w:r>
        <w:rPr>
          <w:rFonts w:ascii="微软雅黑" w:hAnsi="微软雅黑" w:eastAsia="微软雅黑" w:cs="微软雅黑"/>
          <w:b/>
          <w:color w:val="1A237E"/>
          <w:sz w:val="22"/>
        </w:rPr>
        <w:t>2. 概述</w:t>
      </w:r>
      <w:bookmarkEnd w:id="55"/>
    </w:p>
    <w:p>
      <w:bookmarkStart w:id="56" w:name="sec_2_1_设计目的"/>
      <w:pPr>
        <w:pStyle w:val="Heading3"/>
        <w:spacing w:after="60" w:before="120" w:line="240" w:lineRule="auto"/>
      </w:pPr>
      <w:r>
        <w:rPr>
          <w:rFonts w:ascii="微软雅黑" w:hAnsi="微软雅黑" w:eastAsia="微软雅黑" w:cs="微软雅黑"/>
          <w:b/>
          <w:color w:val="1A237E"/>
          <w:sz w:val="20"/>
        </w:rPr>
        <w:t>2.1 设计目的</w:t>
      </w:r>
      <w:bookmarkEnd w:id="56"/>
    </w:p>
    <w:p>
      <w:pPr>
        <w:spacing w:after="0" w:before="0" w:line="240" w:lineRule="auto"/>
      </w:pPr>
      <w:r>
        <w:rPr>
          <w:rFonts w:ascii="微软雅黑" w:hAnsi="微软雅黑" w:eastAsia="微软雅黑" w:cs="微软雅黑"/>
          <w:b w:val="0"/>
          <w:color w:val="212121"/>
          <w:sz w:val="18"/>
        </w:rPr>
        <w:t>本系统让"用什么打什么"和"打几下"同时产生意义。它不满足于属性克制那一层——克制只决定元素量被消耗的速度，真正决定战斗节奏的是元素量本身的整数博弈。</w:t>
      </w:r>
    </w:p>
    <w:p>
      <w:pPr>
        <w:spacing w:after="0" w:before="0" w:line="240" w:lineRule="auto"/>
      </w:pPr>
      <w:r>
        <w:rPr>
          <w:rFonts w:ascii="微软雅黑" w:hAnsi="微软雅黑" w:eastAsia="微软雅黑" w:cs="微软雅黑"/>
          <w:b w:val="0"/>
          <w:color w:val="212121"/>
          <w:sz w:val="18"/>
        </w:rPr>
        <w:t>它回答一连串具体问题：目标身上现在是什么元素、还剩多少量、这一击会不会触发反应、触发的是哪一种、触发之后目标身上还剩下什么。这四个问题全部有确定答案，玩家因此能复盘任何一次交锋。</w:t>
      </w:r>
    </w:p>
    <w:p>
      <w:bookmarkStart w:id="57" w:name="sec_2_2_玩家体验目标"/>
      <w:pPr>
        <w:pStyle w:val="Heading3"/>
        <w:spacing w:after="60" w:before="120" w:line="240" w:lineRule="auto"/>
      </w:pPr>
      <w:r>
        <w:rPr>
          <w:rFonts w:ascii="微软雅黑" w:hAnsi="微软雅黑" w:eastAsia="微软雅黑" w:cs="微软雅黑"/>
          <w:b/>
          <w:color w:val="1A237E"/>
          <w:sz w:val="20"/>
        </w:rPr>
        <w:t>2.2 玩家体验目标</w:t>
      </w:r>
      <w:bookmarkEnd w:id="57"/>
    </w:p>
    <w:tbl>
      <w:tblPr>
        <w:tblW w:type="auto" w:w="0"/>
        <w:jc w:val="center"/>
        <w:tblLook w:firstColumn="1" w:firstRow="1" w:lastColumn="0" w:lastRow="0" w:noHBand="0" w:noVBand="1" w:val="04A0"/>
        <w:tblLayout w:type="fixed"/>
        <w:tblW w:w="8300" w:type="dxa"/>
      </w:tblPr>
      <w:tblGrid>
        <w:gridCol w:w="1166"/>
        <w:gridCol w:w="7134"/>
      </w:tblGrid>
      <w:tr>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目标</w:t>
            </w:r>
          </w:p>
        </w:tc>
        <w:tc>
          <w:tcPr>
            <w:tcW w:type="dxa" w:w="7134"/>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具体表现</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可预期</w:t>
            </w:r>
          </w:p>
        </w:tc>
        <w:tc>
          <w:tcPr>
            <w:tcW w:type="dxa" w:w="7134"/>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全程整数结算，同样的输入必得同样的输出。玩家能说清"这一击为什么触发了蒸发"</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有积累感</w:t>
            </w:r>
          </w:p>
        </w:tc>
        <w:tc>
          <w:tcPr>
            <w:tcW w:type="dxa" w:w="7134"/>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元素不是"打一下就有"，而是有量。连续附上同种元素会累积，攒到临界就有爆发的可能</w:t>
            </w:r>
          </w:p>
        </w:tc>
      </w:tr>
      <w:tr>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克制有感知</w:t>
            </w:r>
          </w:p>
        </w:tc>
        <w:tc>
          <w:tcPr>
            <w:tcW w:type="dxa" w:w="7134"/>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克制方消耗更少，同样的元素量能打出更多次反应。克制带来的是节奏优势，不是数值优势</w:t>
            </w:r>
          </w:p>
        </w:tc>
      </w:tr>
    </w:tbl>
    <w:p>
      <w:bookmarkStart w:id="58" w:name="sec_2_3_系统定位"/>
      <w:pPr>
        <w:pStyle w:val="Heading3"/>
        <w:spacing w:after="60" w:before="120" w:line="240" w:lineRule="auto"/>
      </w:pPr>
      <w:r>
        <w:rPr>
          <w:rFonts w:ascii="微软雅黑" w:hAnsi="微软雅黑" w:eastAsia="微软雅黑" w:cs="微软雅黑"/>
          <w:b/>
          <w:color w:val="1A237E"/>
          <w:sz w:val="20"/>
        </w:rPr>
        <w:t>2.3 系统定位</w:t>
      </w:r>
      <w:bookmarkEnd w:id="58"/>
    </w:p>
    <w:p>
      <w:pPr>
        <w:spacing w:after="0" w:before="0" w:line="240" w:lineRule="auto"/>
      </w:pPr>
      <w:r>
        <w:rPr>
          <w:rFonts w:ascii="微软雅黑" w:hAnsi="微软雅黑" w:eastAsia="微软雅黑" w:cs="微软雅黑"/>
          <w:b w:val="0"/>
          <w:color w:val="212121"/>
          <w:sz w:val="18"/>
        </w:rPr>
        <w:t>元素反应位于伤害计算的上游：它先结算附着与消耗，再把本次反应给出的倍率、额外伤害与减防交给伤害计算。它同时向表现层与城邦机制供数。</w:t>
      </w:r>
    </w:p>
    <w:p>
      <w:pPr>
        <w:spacing w:after="0" w:before="0" w:line="240" w:lineRule="auto"/>
        <w:jc w:val="center"/>
      </w:pPr>
      <w:r>
        <w:drawing>
          <wp:inline xmlns:a="http://schemas.openxmlformats.org/drawingml/2006/main" xmlns:pic="http://schemas.openxmlformats.org/drawingml/2006/picture">
            <wp:extent cx="5270500" cy="2928056"/>
            <wp:docPr id="1" name="Picture 1"/>
            <wp:cNvGraphicFramePr>
              <a:graphicFrameLocks noChangeAspect="1"/>
            </wp:cNvGraphicFramePr>
            <a:graphic>
              <a:graphicData uri="http://schemas.openxmlformats.org/drawingml/2006/picture">
                <pic:pic>
                  <pic:nvPicPr>
                    <pic:cNvPr id="0" name="06_系统定位.png"/>
                    <pic:cNvPicPr/>
                  </pic:nvPicPr>
                  <pic:blipFill>
                    <a:blip r:embed="rId10"/>
                    <a:stretch>
                      <a:fillRect/>
                    </a:stretch>
                  </pic:blipFill>
                  <pic:spPr>
                    <a:xfrm>
                      <a:off x="0" y="0"/>
                      <a:ext cx="5270500" cy="2928056"/>
                    </a:xfrm>
                    <a:prstGeom prst="rect"/>
                  </pic:spPr>
                </pic:pic>
              </a:graphicData>
            </a:graphic>
          </wp:inline>
        </w:drawing>
      </w:r>
    </w:p>
    <w:p>
      <w:pPr>
        <w:spacing w:after="0" w:before="0" w:line="240" w:lineRule="auto"/>
      </w:pPr>
      <w:r>
        <w:rPr>
          <w:rFonts w:ascii="微软雅黑" w:hAnsi="微软雅黑" w:eastAsia="微软雅黑" w:cs="微软雅黑"/>
          <w:b w:val="0"/>
          <w:color w:val="212121"/>
          <w:sz w:val="18"/>
        </w:rPr>
        <w:t>上游的伤害参数决定这一次附着能打多深，下游的跳字、元素光环与元素格负责让玩家看见结果。城邦机制则在最外层决定这套系统是否开启。</w:t>
      </w:r>
    </w:p>
    <w:p>
      <w:bookmarkStart w:id="59" w:name="sec_2_4_名词解释"/>
      <w:pPr>
        <w:pStyle w:val="Heading3"/>
        <w:spacing w:after="60" w:before="120" w:line="240" w:lineRule="auto"/>
      </w:pPr>
      <w:r>
        <w:rPr>
          <w:rFonts w:ascii="微软雅黑" w:hAnsi="微软雅黑" w:eastAsia="微软雅黑" w:cs="微软雅黑"/>
          <w:b/>
          <w:color w:val="1A237E"/>
          <w:sz w:val="20"/>
        </w:rPr>
        <w:t>2.4 名词解释</w:t>
      </w:r>
      <w:bookmarkEnd w:id="59"/>
    </w:p>
    <w:tbl>
      <w:tblPr>
        <w:tblW w:type="auto" w:w="0"/>
        <w:jc w:val="center"/>
        <w:tblLook w:firstColumn="1" w:firstRow="1" w:lastColumn="0" w:lastRow="0" w:noHBand="0" w:noVBand="1" w:val="04A0"/>
        <w:tblLayout w:type="fixed"/>
        <w:tblW w:w="6112" w:type="dxa"/>
      </w:tblPr>
      <w:tblGrid>
        <w:gridCol w:w="986"/>
        <w:gridCol w:w="512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术语</w:t>
            </w:r>
          </w:p>
        </w:tc>
        <w:tc>
          <w:tcPr>
            <w:tcW w:type="dxa" w:w="51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含义</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元素量</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简称 Gauge，附着元素的存量，整数，上限为固定常量</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目标身上已经附着的元素，是被反应的一方</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触发元素</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本次攻击带来的元素，是发起反应的一方</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克制</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单向的元素优势关系，只影响元素量的消耗速度，不影响伤害</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反应</w:t>
            </w:r>
          </w:p>
        </w:tc>
        <w:tc>
          <w:tcPr>
            <w:tcW w:type="dxa" w:w="51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底元素与触发元素不同且底元素量大于零时发生的结算</w:t>
            </w:r>
          </w:p>
        </w:tc>
      </w:tr>
    </w:tbl>
    <w:p>
      <w:bookmarkStart w:id="60" w:name="sec_3_规则与逻辑"/>
      <w:pPr>
        <w:pStyle w:val="Heading2"/>
        <w:spacing w:after="80" w:before="160" w:line="240" w:lineRule="auto"/>
      </w:pPr>
      <w:r>
        <w:rPr>
          <w:rFonts w:ascii="微软雅黑" w:hAnsi="微软雅黑" w:eastAsia="微软雅黑" w:cs="微软雅黑"/>
          <w:b/>
          <w:color w:val="1A237E"/>
          <w:sz w:val="22"/>
        </w:rPr>
        <w:t>3. 规则与逻辑</w:t>
      </w:r>
      <w:bookmarkEnd w:id="60"/>
    </w:p>
    <w:p>
      <w:bookmarkStart w:id="61" w:name="sec_3_1_四元素与克制关系"/>
      <w:pPr>
        <w:pStyle w:val="Heading3"/>
        <w:spacing w:after="60" w:before="120" w:line="240" w:lineRule="auto"/>
      </w:pPr>
      <w:r>
        <w:rPr>
          <w:rFonts w:ascii="微软雅黑" w:hAnsi="微软雅黑" w:eastAsia="微软雅黑" w:cs="微软雅黑"/>
          <w:b/>
          <w:color w:val="1A237E"/>
          <w:sz w:val="20"/>
        </w:rPr>
        <w:t>3.1 四元素与克制关系</w:t>
      </w:r>
      <w:bookmarkEnd w:id="61"/>
    </w:p>
    <w:p>
      <w:pPr>
        <w:spacing w:after="0" w:before="0" w:line="240" w:lineRule="auto"/>
      </w:pPr>
      <w:r>
        <w:rPr>
          <w:rFonts w:ascii="微软雅黑" w:hAnsi="微软雅黑" w:eastAsia="微软雅黑" w:cs="微软雅黑"/>
          <w:b w:val="0"/>
          <w:color w:val="212121"/>
          <w:sz w:val="18"/>
        </w:rPr>
        <w:t>四元素构成两条单向克制：水克火，火克冰。雷不参与克制，是纯粹的反应发起方。</w:t>
      </w:r>
    </w:p>
    <w:tbl>
      <w:tblPr>
        <w:tblW w:type="auto" w:w="0"/>
        <w:jc w:val="center"/>
        <w:tblLook w:firstColumn="1" w:firstRow="1" w:lastColumn="0" w:lastRow="0" w:noHBand="0" w:noVBand="1" w:val="04A0"/>
        <w:tblLayout w:type="fixed"/>
        <w:tblW w:w="2778" w:type="dxa"/>
      </w:tblPr>
      <w:tblGrid>
        <w:gridCol w:w="986"/>
        <w:gridCol w:w="626"/>
        <w:gridCol w:w="116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元素</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中文</w:t>
            </w:r>
          </w:p>
        </w:tc>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克制关系</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Fire</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火</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克冰</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Water</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水</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克火</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Thunder</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不参与克制</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Ice</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冰</w:t>
            </w:r>
          </w:p>
        </w:tc>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不参与克制</w:t>
            </w:r>
          </w:p>
        </w:tc>
      </w:tr>
    </w:tbl>
    <w:p>
      <w:pPr>
        <w:spacing w:after="0" w:before="0" w:line="240" w:lineRule="auto"/>
      </w:pPr>
      <w:r>
        <w:rPr>
          <w:rFonts w:ascii="微软雅黑" w:hAnsi="微软雅黑" w:eastAsia="微软雅黑" w:cs="微软雅黑"/>
          <w:b w:val="0"/>
          <w:color w:val="212121"/>
          <w:sz w:val="18"/>
        </w:rPr>
        <w:t>克制是单向的：水克火，但火不克水。判定函数只认两个方向——攻击方为水且防御方为火，或攻击方为火且防御方为冰。</w:t>
      </w:r>
    </w:p>
    <w:p>
      <w:pPr>
        <w:spacing w:after="0" w:before="0" w:line="240" w:lineRule="auto"/>
      </w:pPr>
      <w:r>
        <w:rPr>
          <w:rFonts w:ascii="微软雅黑" w:hAnsi="微软雅黑" w:eastAsia="微软雅黑" w:cs="微软雅黑"/>
          <w:b w:val="0"/>
          <w:color w:val="212121"/>
          <w:sz w:val="18"/>
        </w:rPr>
        <w:t>克制的作用范围需要说清，这是最容易被记反的一点：</w:t>
      </w:r>
    </w:p>
    <w:tbl>
      <w:tblPr>
        <w:tblW w:type="auto" w:w="0"/>
        <w:jc w:val="center"/>
        <w:tblLook w:firstColumn="1" w:firstRow="1" w:lastColumn="0" w:lastRow="0" w:noHBand="0" w:noVBand="1" w:val="04A0"/>
        <w:tblLayout w:type="fixed"/>
        <w:tblW w:w="8300" w:type="dxa"/>
      </w:tblPr>
      <w:tblGrid>
        <w:gridCol w:w="4549"/>
        <w:gridCol w:w="3750"/>
      </w:tblGrid>
      <w:tr>
        <w:tc>
          <w:tcPr>
            <w:tcW w:type="dxa" w:w="4549"/>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克制影响</w:t>
            </w:r>
          </w:p>
        </w:tc>
        <w:tc>
          <w:tcPr>
            <w:tcW w:type="dxa" w:w="375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克制不影响</w:t>
            </w:r>
          </w:p>
        </w:tc>
      </w:tr>
      <w:tr>
        <w:tc>
          <w:tcPr>
            <w:tcW w:type="dxa" w:w="4549"/>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元素量的消耗速度。克制方的有效量翻倍，因此实际消耗减半</w:t>
            </w:r>
          </w:p>
        </w:tc>
        <w:tc>
          <w:tcPr>
            <w:tcW w:type="dxa" w:w="375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伤害倍率。倍率只由反应类型决定，与谁克谁无关</w:t>
            </w:r>
          </w:p>
        </w:tc>
      </w:tr>
    </w:tbl>
    <w:p>
      <w:pPr>
        <w:spacing w:after="0" w:before="0" w:line="240" w:lineRule="auto"/>
      </w:pPr>
      <w:r>
        <w:rPr>
          <w:rFonts w:ascii="微软雅黑" w:hAnsi="微软雅黑" w:eastAsia="微软雅黑" w:cs="微软雅黑"/>
          <w:b w:val="0"/>
          <w:color w:val="212121"/>
          <w:sz w:val="18"/>
        </w:rPr>
        <w:t>一句话概括：克制让你更容易打出反应，但不会让这一击更疼。</w:t>
      </w:r>
    </w:p>
    <w:p>
      <w:bookmarkStart w:id="62" w:name="sec_3_2_城邦过滤"/>
      <w:pPr>
        <w:pStyle w:val="Heading3"/>
        <w:spacing w:after="60" w:before="120" w:line="240" w:lineRule="auto"/>
      </w:pPr>
      <w:r>
        <w:rPr>
          <w:rFonts w:ascii="微软雅黑" w:hAnsi="微软雅黑" w:eastAsia="微软雅黑" w:cs="微软雅黑"/>
          <w:b/>
          <w:color w:val="1A237E"/>
          <w:sz w:val="20"/>
        </w:rPr>
        <w:t>3.2 城邦过滤</w:t>
      </w:r>
      <w:bookmarkEnd w:id="62"/>
    </w:p>
    <w:p>
      <w:pPr>
        <w:spacing w:after="0" w:before="0" w:line="240" w:lineRule="auto"/>
      </w:pPr>
      <w:r>
        <w:rPr>
          <w:rFonts w:ascii="微软雅黑" w:hAnsi="微软雅黑" w:eastAsia="微软雅黑" w:cs="微软雅黑"/>
          <w:b w:val="0"/>
          <w:color w:val="212121"/>
          <w:sz w:val="18"/>
        </w:rPr>
        <w:t>元素系统只在元素城邦的对局中生效。非元素城邦下，不附着、不消耗、不触发反应，交互结算直接返回空结果。</w:t>
      </w:r>
    </w:p>
    <w:p>
      <w:pPr>
        <w:spacing w:after="0" w:before="0" w:line="240" w:lineRule="auto"/>
      </w:pPr>
      <w:r>
        <w:rPr>
          <w:rFonts w:ascii="微软雅黑" w:hAnsi="微软雅黑" w:eastAsia="微软雅黑" w:cs="微软雅黑"/>
          <w:b w:val="0"/>
          <w:color w:val="212121"/>
          <w:sz w:val="18"/>
        </w:rPr>
        <w:t>判定收敛在一处：当前城邦是否为元素城邦。所有查询入口都转发到这一个判定，棋子与反应表自身不做判断。这让"元素系统是否开启"只有一个开关，不存在两处口径不一致的可能。</w:t>
      </w:r>
    </w:p>
    <w:p>
      <w:pPr>
        <w:spacing w:after="0" w:before="0" w:line="240" w:lineRule="auto"/>
      </w:pPr>
      <w:r>
        <w:rPr>
          <w:rFonts w:ascii="微软雅黑" w:hAnsi="微软雅黑" w:eastAsia="微软雅黑" w:cs="微软雅黑"/>
          <w:b w:val="0"/>
          <w:color w:val="212121"/>
          <w:sz w:val="18"/>
        </w:rPr>
        <w:t>这一处理的意义在于把元素反应界定为元素城邦的专属机制，而不是全局通用玩法。它与其他城邦的机制并列，各自提供一套独特的对局体验。</w:t>
      </w:r>
    </w:p>
    <w:p>
      <w:bookmarkStart w:id="63" w:name="sec_3_3_元素附着"/>
      <w:pPr>
        <w:pStyle w:val="Heading3"/>
        <w:spacing w:after="60" w:before="120" w:line="240" w:lineRule="auto"/>
      </w:pPr>
      <w:r>
        <w:rPr>
          <w:rFonts w:ascii="微软雅黑" w:hAnsi="微软雅黑" w:eastAsia="微软雅黑" w:cs="微软雅黑"/>
          <w:b/>
          <w:color w:val="1A237E"/>
          <w:sz w:val="20"/>
        </w:rPr>
        <w:t>3.3 元素附着</w:t>
      </w:r>
      <w:bookmarkEnd w:id="63"/>
    </w:p>
    <w:p>
      <w:pPr>
        <w:spacing w:after="0" w:before="0" w:line="240" w:lineRule="auto"/>
      </w:pPr>
      <w:r>
        <w:rPr>
          <w:rFonts w:ascii="微软雅黑" w:hAnsi="微软雅黑" w:eastAsia="微软雅黑" w:cs="微软雅黑"/>
          <w:b w:val="0"/>
          <w:color w:val="212121"/>
          <w:sz w:val="18"/>
        </w:rPr>
        <w:t>任何一次直接伤害默认携带攻击方的先天元素。附着的量由伤害来源决定：</w:t>
      </w:r>
    </w:p>
    <w:tbl>
      <w:tblPr>
        <w:tblW w:type="auto" w:w="0"/>
        <w:jc w:val="center"/>
        <w:tblLook w:firstColumn="1" w:firstRow="1" w:lastColumn="0" w:lastRow="0" w:noHBand="0" w:noVBand="1" w:val="04A0"/>
        <w:tblLayout w:type="fixed"/>
        <w:tblW w:w="7203" w:type="dxa"/>
      </w:tblPr>
      <w:tblGrid>
        <w:gridCol w:w="986"/>
        <w:gridCol w:w="3251"/>
        <w:gridCol w:w="296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伤害来源</w:t>
            </w:r>
          </w:p>
        </w:tc>
        <w:tc>
          <w:tcPr>
            <w:tcW w:type="dxa" w:w="325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附着量</w:t>
            </w:r>
          </w:p>
        </w:tc>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普攻</w:t>
            </w:r>
          </w:p>
        </w:tc>
        <w:tc>
          <w:tcPr>
            <w:tcW w:type="dxa" w:w="325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1，加上元素之力类被动提供的额外量</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基础附着</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w:t>
            </w:r>
          </w:p>
        </w:tc>
        <w:tc>
          <w:tcPr>
            <w:tcW w:type="dxa" w:w="325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大招的附着量是普攻的两倍</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反伤</w:t>
            </w:r>
          </w:p>
        </w:tc>
        <w:tc>
          <w:tcPr>
            <w:tcW w:type="dxa" w:w="325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不附着</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伤害来源为反伤类，不携带元素</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持续伤害</w:t>
            </w:r>
          </w:p>
        </w:tc>
        <w:tc>
          <w:tcPr>
            <w:tcW w:type="dxa" w:w="325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不附着</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感电持续伤害自身不再附着元素</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超载爆炸</w:t>
            </w:r>
          </w:p>
        </w:tc>
        <w:tc>
          <w:tcPr>
            <w:tcW w:type="dxa" w:w="325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不附着</w:t>
            </w:r>
          </w:p>
        </w:tc>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爆炸是反应产物，不再是元素来源</w:t>
            </w:r>
          </w:p>
        </w:tc>
      </w:tr>
    </w:tbl>
    <w:p>
      <w:pPr>
        <w:spacing w:after="0" w:before="0" w:line="240" w:lineRule="auto"/>
      </w:pPr>
      <w:r>
        <w:rPr>
          <w:rFonts w:ascii="微软雅黑" w:hAnsi="微软雅黑" w:eastAsia="微软雅黑" w:cs="微软雅黑"/>
          <w:b w:val="0"/>
          <w:color w:val="212121"/>
          <w:sz w:val="18"/>
        </w:rPr>
        <w:t>附着量存在固定上限，上限是棋子模型上的编译期常量，不通过配置资产覆盖。</w:t>
      </w:r>
    </w:p>
    <w:p>
      <w:pPr>
        <w:spacing w:after="0" w:before="0" w:line="240" w:lineRule="auto"/>
      </w:pPr>
      <w:r>
        <w:rPr>
          <w:rFonts w:ascii="微软雅黑" w:hAnsi="微软雅黑" w:eastAsia="微软雅黑" w:cs="微软雅黑"/>
          <w:b w:val="0"/>
          <w:color w:val="212121"/>
          <w:sz w:val="18"/>
        </w:rPr>
        <w:t>同种元素的再次附着不触发反应，而是在原量上累加，累加结果受上限约束。</w:t>
      </w:r>
    </w:p>
    <w:p>
      <w:bookmarkStart w:id="64" w:name="sec_3_4_元素交互结算"/>
      <w:pPr>
        <w:pStyle w:val="Heading3"/>
        <w:spacing w:after="60" w:before="120" w:line="240" w:lineRule="auto"/>
      </w:pPr>
      <w:r>
        <w:rPr>
          <w:rFonts w:ascii="微软雅黑" w:hAnsi="微软雅黑" w:eastAsia="微软雅黑" w:cs="微软雅黑"/>
          <w:b/>
          <w:color w:val="1A237E"/>
          <w:sz w:val="20"/>
        </w:rPr>
        <w:t>3.4 元素交互结算</w:t>
      </w:r>
      <w:bookmarkEnd w:id="64"/>
    </w:p>
    <w:p>
      <w:pPr>
        <w:spacing w:after="0" w:before="0" w:line="240" w:lineRule="auto"/>
      </w:pPr>
      <w:r>
        <w:rPr>
          <w:rFonts w:ascii="微软雅黑" w:hAnsi="微软雅黑" w:eastAsia="微软雅黑" w:cs="微软雅黑"/>
          <w:b w:val="0"/>
          <w:color w:val="212121"/>
          <w:sz w:val="18"/>
        </w:rPr>
        <w:t>这是本系统的核心算法，全程整数运算。输入是底元素与底元素量、触发元素与触发元素量，输出是结算后的元素与剩余量。</w:t>
      </w:r>
    </w:p>
    <w:p>
      <w:pPr>
        <w:spacing w:after="0" w:before="0" w:line="240" w:lineRule="auto"/>
        <w:jc w:val="center"/>
      </w:pPr>
      <w:r>
        <w:drawing>
          <wp:inline xmlns:a="http://schemas.openxmlformats.org/drawingml/2006/main" xmlns:pic="http://schemas.openxmlformats.org/drawingml/2006/picture">
            <wp:extent cx="5270500" cy="3883526"/>
            <wp:docPr id="2" name="Picture 2"/>
            <wp:cNvGraphicFramePr>
              <a:graphicFrameLocks noChangeAspect="1"/>
            </wp:cNvGraphicFramePr>
            <a:graphic>
              <a:graphicData uri="http://schemas.openxmlformats.org/drawingml/2006/picture">
                <pic:pic>
                  <pic:nvPicPr>
                    <pic:cNvPr id="0" name="06_交互结算.png"/>
                    <pic:cNvPicPr/>
                  </pic:nvPicPr>
                  <pic:blipFill>
                    <a:blip r:embed="rId11"/>
                    <a:stretch>
                      <a:fillRect/>
                    </a:stretch>
                  </pic:blipFill>
                  <pic:spPr>
                    <a:xfrm>
                      <a:off x="0" y="0"/>
                      <a:ext cx="5270500" cy="3883526"/>
                    </a:xfrm>
                    <a:prstGeom prst="rect"/>
                  </pic:spPr>
                </pic:pic>
              </a:graphicData>
            </a:graphic>
          </wp:inline>
        </w:drawing>
      </w:r>
    </w:p>
    <w:p>
      <w:pPr>
        <w:spacing w:after="0" w:before="0" w:line="240" w:lineRule="auto"/>
      </w:pPr>
      <w:r>
        <w:rPr>
          <w:rFonts w:ascii="微软雅黑" w:hAnsi="微软雅黑" w:eastAsia="微软雅黑" w:cs="微软雅黑"/>
          <w:b w:val="0"/>
          <w:color w:val="212121"/>
          <w:sz w:val="18"/>
        </w:rPr>
        <w:t>算法按三种情况分支：</w:t>
      </w:r>
    </w:p>
    <w:tbl>
      <w:tblPr>
        <w:tblW w:type="auto" w:w="0"/>
        <w:jc w:val="center"/>
        <w:tblLook w:firstColumn="1" w:firstRow="1" w:lastColumn="0" w:lastRow="0" w:noHBand="0" w:noVBand="1" w:val="04A0"/>
        <w:tblLayout w:type="fixed"/>
        <w:tblW w:w="6378" w:type="dxa"/>
      </w:tblPr>
      <w:tblGrid>
        <w:gridCol w:w="986"/>
        <w:gridCol w:w="2426"/>
        <w:gridCol w:w="2966"/>
      </w:tblGrid>
      <w:tr>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情况</w:t>
            </w:r>
          </w:p>
        </w:tc>
        <w:tc>
          <w:tcPr>
            <w:tcW w:type="dxa" w:w="24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条件</w:t>
            </w:r>
          </w:p>
        </w:tc>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处理</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无底元素</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底元素量为零或底元素为空</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直接附着触发元素，量等于触发量</w:t>
            </w:r>
          </w:p>
        </w:tc>
      </w:tr>
      <w:tr>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同种元素</w:t>
            </w:r>
          </w:p>
        </w:tc>
        <w:tc>
          <w:tcPr>
            <w:tcW w:type="dxa" w:w="24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底元素与触发元素相同</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累加并取上限，不触发反应</w:t>
            </w:r>
          </w:p>
        </w:tc>
      </w:tr>
      <w:tr>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不同元素</w:t>
            </w:r>
          </w:p>
        </w:tc>
        <w:tc>
          <w:tcPr>
            <w:tcW w:type="dxa" w:w="24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其余情况</w:t>
            </w:r>
          </w:p>
        </w:tc>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走下方的消耗流程</w:t>
            </w:r>
          </w:p>
        </w:tc>
      </w:tr>
    </w:tbl>
    <w:p>
      <w:pPr>
        <w:spacing w:after="0" w:before="0" w:line="240" w:lineRule="auto"/>
      </w:pPr>
      <w:r>
        <w:rPr>
          <w:rFonts w:ascii="微软雅黑" w:hAnsi="微软雅黑" w:eastAsia="微软雅黑" w:cs="微软雅黑"/>
          <w:b w:val="0"/>
          <w:color w:val="212121"/>
          <w:sz w:val="18"/>
        </w:rPr>
        <w:t>不同元素时的消耗流程分六步：</w:t>
      </w:r>
    </w:p>
    <w:p>
      <w:pPr>
        <w:spacing w:after="0" w:before="0" w:line="240" w:lineRule="auto"/>
      </w:pPr>
      <w:r>
        <w:rPr>
          <w:rFonts w:ascii="微软雅黑" w:hAnsi="微软雅黑" w:eastAsia="微软雅黑" w:cs="微软雅黑"/>
          <w:b w:val="0"/>
          <w:color w:val="212121"/>
          <w:sz w:val="18"/>
        </w:rPr>
        <w:t>第一步，取双方的有效量，初值分别等于各自的当前量。</w:t>
      </w:r>
    </w:p>
    <w:p>
      <w:pPr>
        <w:spacing w:after="0" w:before="0" w:line="240" w:lineRule="auto"/>
      </w:pPr>
      <w:r>
        <w:rPr>
          <w:rFonts w:ascii="微软雅黑" w:hAnsi="微软雅黑" w:eastAsia="微软雅黑" w:cs="微软雅黑"/>
          <w:b w:val="0"/>
          <w:color w:val="212121"/>
          <w:sz w:val="18"/>
        </w:rPr>
        <w:t>第二步，应用克制。触发方克底方时触发方有效量翻倍；底方克触发方时底方有效量翻倍。两者不会同时成立，因为克制表是单向的。</w:t>
      </w:r>
    </w:p>
    <w:p>
      <w:pPr>
        <w:spacing w:after="0" w:before="0" w:line="240" w:lineRule="auto"/>
      </w:pPr>
      <w:r>
        <w:rPr>
          <w:rFonts w:ascii="微软雅黑" w:hAnsi="微软雅黑" w:eastAsia="微软雅黑" w:cs="微软雅黑"/>
          <w:b w:val="0"/>
          <w:color w:val="212121"/>
          <w:sz w:val="18"/>
        </w:rPr>
        <w:t>第三步，取消耗量，等于双方有效量中的较小者。</w:t>
      </w:r>
    </w:p>
    <w:p>
      <w:pPr>
        <w:spacing w:after="0" w:before="0" w:line="240" w:lineRule="auto"/>
      </w:pPr>
      <w:r>
        <w:rPr>
          <w:rFonts w:ascii="微软雅黑" w:hAnsi="微软雅黑" w:eastAsia="微软雅黑" w:cs="微软雅黑"/>
          <w:b w:val="0"/>
          <w:color w:val="212121"/>
          <w:sz w:val="18"/>
        </w:rPr>
        <w:t>第四步，按克制关系分摊消耗。底方克触发方时，底方消耗取消耗量的一半（向下取整）与一之中的较大者，触发方消耗等于消耗量本身；触发方克底方时，底方消耗等于消耗量本身，触发方消耗取消耗量的一半（向下取整）；无克制时双方各消耗消耗量本身。</w:t>
      </w:r>
    </w:p>
    <w:p>
      <w:pPr>
        <w:spacing w:after="0" w:before="0" w:line="240" w:lineRule="auto"/>
      </w:pPr>
      <w:r>
        <w:rPr>
          <w:rFonts w:ascii="微软雅黑" w:hAnsi="微软雅黑" w:eastAsia="微软雅黑" w:cs="微软雅黑"/>
          <w:b w:val="0"/>
          <w:color w:val="212121"/>
          <w:sz w:val="18"/>
        </w:rPr>
        <w:t>第五步，从各自的量中扣除对应消耗。</w:t>
      </w:r>
    </w:p>
    <w:p>
      <w:pPr>
        <w:spacing w:after="0" w:before="0" w:line="240" w:lineRule="auto"/>
      </w:pPr>
      <w:r>
        <w:rPr>
          <w:rFonts w:ascii="微软雅黑" w:hAnsi="微软雅黑" w:eastAsia="微软雅黑" w:cs="微软雅黑"/>
          <w:b w:val="0"/>
          <w:color w:val="212121"/>
          <w:sz w:val="18"/>
        </w:rPr>
        <w:t>第六步，读取结果。底方剩余量大于零则保留底元素；否则若触发方剩余量大于零则附着变为触发元素；两者都为零或以下则清除。</w:t>
      </w:r>
    </w:p>
    <w:p>
      <w:pPr>
        <w:spacing w:after="0" w:before="0" w:line="240" w:lineRule="auto"/>
      </w:pPr>
      <w:r>
        <w:rPr>
          <w:rFonts w:ascii="微软雅黑" w:hAnsi="微软雅黑" w:eastAsia="微软雅黑" w:cs="微软雅黑"/>
          <w:b w:val="0"/>
          <w:color w:val="212121"/>
          <w:sz w:val="18"/>
        </w:rPr>
        <w:t>前三步与第四步的取整规则共同保证一个结果：不可能出现双方剩余量都大于零的情况。因为消耗量取的是双方有效量的较小者，至少有一方的有效量不超过消耗量，必然被扣光。</w:t>
      </w:r>
    </w:p>
    <w:p>
      <w:pPr>
        <w:spacing w:after="0" w:before="0" w:line="240" w:lineRule="auto"/>
      </w:pPr>
      <w:r>
        <w:rPr>
          <w:rFonts w:ascii="微软雅黑" w:hAnsi="微软雅黑" w:eastAsia="微软雅黑" w:cs="微软雅黑"/>
          <w:b w:val="0"/>
          <w:color w:val="212121"/>
          <w:sz w:val="18"/>
        </w:rPr>
        <w:t>需要留意第四步的不对称：只有底方克触发方的分支带着"至少消耗一"的保底，触发方克底方的分支没有。当消耗量为一时，触发方那份消耗取半后为零，触发方元素量不减少。这一处不对称的实际影响是：触发方在克制关系下能以零成本发起一次反应。是否保留这一行为，属于数值平衡决策，见边界一节。</w:t>
      </w:r>
    </w:p>
    <w:p>
      <w:bookmarkStart w:id="65" w:name="sec_3_5_反应与副作用"/>
      <w:pPr>
        <w:pStyle w:val="Heading3"/>
        <w:spacing w:after="60" w:before="120" w:line="240" w:lineRule="auto"/>
      </w:pPr>
      <w:r>
        <w:rPr>
          <w:rFonts w:ascii="微软雅黑" w:hAnsi="微软雅黑" w:eastAsia="微软雅黑" w:cs="微软雅黑"/>
          <w:b/>
          <w:color w:val="1A237E"/>
          <w:sz w:val="20"/>
        </w:rPr>
        <w:t>3.5 反应与副作用</w:t>
      </w:r>
      <w:bookmarkEnd w:id="65"/>
    </w:p>
    <w:p>
      <w:pPr>
        <w:spacing w:after="0" w:before="0" w:line="240" w:lineRule="auto"/>
      </w:pPr>
      <w:r>
        <w:rPr>
          <w:rFonts w:ascii="微软雅黑" w:hAnsi="微软雅黑" w:eastAsia="微软雅黑" w:cs="微软雅黑"/>
          <w:b w:val="0"/>
          <w:color w:val="212121"/>
          <w:sz w:val="18"/>
        </w:rPr>
        <w:t>元素组合决定反应类型，反应类型决定本轮攻击的加成与附加效果。</w:t>
      </w:r>
    </w:p>
    <w:p>
      <w:pPr>
        <w:spacing w:after="0" w:before="0" w:line="240" w:lineRule="auto"/>
      </w:pPr>
      <w:r>
        <w:rPr>
          <w:rFonts w:ascii="微软雅黑" w:hAnsi="微软雅黑" w:eastAsia="微软雅黑" w:cs="微软雅黑"/>
          <w:b w:val="0"/>
          <w:color w:val="212121"/>
          <w:sz w:val="18"/>
        </w:rPr>
        <w:t>反应是双向成对的：同样两种元素，谁是底、谁是触发，得到的是同一种反应，但倍率可以不同。反应的具体数值全部外置在配置资产中，代码只负责查表与应用。</w:t>
      </w:r>
    </w:p>
    <w:p>
      <w:pPr>
        <w:spacing w:after="0" w:before="0" w:line="240" w:lineRule="auto"/>
      </w:pPr>
      <w:r>
        <w:rPr>
          <w:rFonts w:ascii="微软雅黑" w:hAnsi="微软雅黑" w:eastAsia="微软雅黑" w:cs="微软雅黑"/>
          <w:b w:val="0"/>
          <w:color w:val="212121"/>
          <w:sz w:val="18"/>
        </w:rPr>
        <w:t>反应结算的副作用按类型分流：</w:t>
      </w:r>
    </w:p>
    <w:tbl>
      <w:tblPr>
        <w:tblW w:type="auto" w:w="0"/>
        <w:jc w:val="center"/>
        <w:tblLook w:firstColumn="1" w:firstRow="1" w:lastColumn="0" w:lastRow="0" w:noHBand="0" w:noVBand="1" w:val="04A0"/>
        <w:tblLayout w:type="fixed"/>
        <w:tblW w:w="7818" w:type="dxa"/>
      </w:tblPr>
      <w:tblGrid>
        <w:gridCol w:w="626"/>
        <w:gridCol w:w="4226"/>
        <w:gridCol w:w="2966"/>
      </w:tblGrid>
      <w:tr>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反应</w:t>
            </w:r>
          </w:p>
        </w:tc>
        <w:tc>
          <w:tcPr>
            <w:tcW w:type="dxa" w:w="42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副作用</w:t>
            </w:r>
          </w:p>
        </w:tc>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结算时机</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超载</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击退目标若干格</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伤害结算后</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对目标施加剧持续伤害</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由回合循环在每次回合开始时结算</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目标本回合无法被选中，不能移动、攻击或放大招</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立即写入，行动时拦截</w:t>
            </w:r>
          </w:p>
        </w:tc>
      </w:tr>
      <w:tr>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超导</w:t>
            </w:r>
          </w:p>
        </w:tc>
        <w:tc>
          <w:tcPr>
            <w:tcW w:type="dxa" w:w="42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削减目标防御，本次攻击即享受</w:t>
            </w:r>
          </w:p>
        </w:tc>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伤害计算前写入目标</w:t>
            </w:r>
          </w:p>
        </w:tc>
      </w:tr>
    </w:tbl>
    <w:p>
      <w:pPr>
        <w:spacing w:after="0" w:before="0" w:line="240" w:lineRule="auto"/>
      </w:pPr>
      <w:r>
        <w:rPr>
          <w:rFonts w:ascii="微软雅黑" w:hAnsi="微软雅黑" w:eastAsia="微软雅黑" w:cs="微软雅黑"/>
          <w:b w:val="0"/>
          <w:color w:val="212121"/>
          <w:sz w:val="18"/>
        </w:rPr>
        <w:t>持续伤害的结算时机需要说明：它挂在回合开始事件上，任何一方的回合开始都会对双方所有携带持续伤害的棋子各结算一次，因此一轮对局中每名受术者会被结算两次，每次跳一次字。这一点是刻意的，它让持续伤害的压迫感随时可见，而不是只在某一方回合才显现。</w:t>
      </w:r>
    </w:p>
    <w:p>
      <w:bookmarkStart w:id="66" w:name="sec_3_6_反应修饰器"/>
      <w:pPr>
        <w:pStyle w:val="Heading3"/>
        <w:spacing w:after="60" w:before="120" w:line="240" w:lineRule="auto"/>
      </w:pPr>
      <w:r>
        <w:rPr>
          <w:rFonts w:ascii="微软雅黑" w:hAnsi="微软雅黑" w:eastAsia="微软雅黑" w:cs="微软雅黑"/>
          <w:b/>
          <w:color w:val="1A237E"/>
          <w:sz w:val="20"/>
        </w:rPr>
        <w:t>3.6 反应修饰器</w:t>
      </w:r>
      <w:bookmarkEnd w:id="66"/>
    </w:p>
    <w:p>
      <w:pPr>
        <w:spacing w:after="0" w:before="0" w:line="240" w:lineRule="auto"/>
      </w:pPr>
      <w:r>
        <w:rPr>
          <w:rFonts w:ascii="微软雅黑" w:hAnsi="微软雅黑" w:eastAsia="微软雅黑" w:cs="微软雅黑"/>
          <w:b w:val="0"/>
          <w:color w:val="212121"/>
          <w:sz w:val="18"/>
        </w:rPr>
        <w:t>反应参数可以被装备被动改写。修饰器是一个只接收并返回反应配置的接口，实现者按顺序串行作用于参数：先应用全局修饰器链，再应用该棋子自身的修饰器链。每一步的输出就是下一步的输入，因此多个修饰器可以叠加。</w:t>
      </w:r>
    </w:p>
    <w:p>
      <w:pPr>
        <w:spacing w:after="0" w:before="0" w:line="240" w:lineRule="auto"/>
      </w:pPr>
      <w:r>
        <w:rPr>
          <w:rFonts w:ascii="微软雅黑" w:hAnsi="微软雅黑" w:eastAsia="微软雅黑" w:cs="微软雅黑"/>
          <w:b w:val="0"/>
          <w:color w:val="212121"/>
          <w:sz w:val="18"/>
        </w:rPr>
        <w:t>反应数值的运行时覆盖优先级高于修饰器：一旦某个组合被临时覆盖，修饰器链整体跳过，不再参与计算。</w:t>
      </w:r>
    </w:p>
    <w:p>
      <w:bookmarkStart w:id="67" w:name="sec_4_数值与公式"/>
      <w:pPr>
        <w:pStyle w:val="Heading2"/>
        <w:spacing w:after="80" w:before="160" w:line="240" w:lineRule="auto"/>
      </w:pPr>
      <w:r>
        <w:rPr>
          <w:rFonts w:ascii="微软雅黑" w:hAnsi="微软雅黑" w:eastAsia="微软雅黑" w:cs="微软雅黑"/>
          <w:b/>
          <w:color w:val="1A237E"/>
          <w:sz w:val="22"/>
        </w:rPr>
        <w:t>4. 数值与公式</w:t>
      </w:r>
      <w:bookmarkEnd w:id="67"/>
    </w:p>
    <w:p>
      <w:bookmarkStart w:id="68" w:name="sec_4_1_消耗量公式"/>
      <w:pPr>
        <w:pStyle w:val="Heading3"/>
        <w:spacing w:after="60" w:before="120" w:line="240" w:lineRule="auto"/>
      </w:pPr>
      <w:r>
        <w:rPr>
          <w:rFonts w:ascii="微软雅黑" w:hAnsi="微软雅黑" w:eastAsia="微软雅黑" w:cs="微软雅黑"/>
          <w:b/>
          <w:color w:val="1A237E"/>
          <w:sz w:val="20"/>
        </w:rPr>
        <w:t>4.1 消耗量公式</w:t>
      </w:r>
      <w:bookmarkEnd w:id="68"/>
    </w:p>
    <w:p>
      <w:pPr>
        <w:spacing w:after="0" w:before="0" w:line="240" w:lineRule="auto"/>
      </w:pPr>
      <w:r>
        <w:rPr>
          <w:rFonts w:ascii="微软雅黑" w:hAnsi="微软雅黑" w:eastAsia="微软雅黑" w:cs="微软雅黑"/>
          <w:b w:val="0"/>
          <w:color w:val="212121"/>
          <w:sz w:val="18"/>
        </w:rPr>
        <w:t>设底方有效量为baseEff，触发方有效量为trigEff，消耗量为consume，则：</w:t>
      </w:r>
    </w:p>
    <w:p>
      <w:pPr>
        <w:spacing w:after="0" w:before="0" w:line="240" w:lineRule="auto"/>
      </w:pPr>
      <w:r>
        <w:rPr>
          <w:rFonts w:ascii="微软雅黑" w:hAnsi="微软雅黑" w:eastAsia="微软雅黑" w:cs="微软雅黑"/>
          <w:b w:val="0"/>
          <w:color w:val="212121"/>
          <w:sz w:val="18"/>
        </w:rPr>
        <w:t>consume = min(baseEff, trigEff)</w:t>
      </w:r>
    </w:p>
    <w:p>
      <w:pPr>
        <w:spacing w:after="0" w:before="0" w:line="240" w:lineRule="auto"/>
      </w:pPr>
      <w:r>
        <w:rPr>
          <w:rFonts w:ascii="微软雅黑" w:hAnsi="微软雅黑" w:eastAsia="微软雅黑" w:cs="微软雅黑"/>
          <w:b w:val="0"/>
          <w:color w:val="212121"/>
          <w:sz w:val="18"/>
        </w:rPr>
        <w:t>底方消耗等于消耗量的一半与一的较大者（底方克触发方时）或消耗量本身（触发方克底方时）；触发方消耗等于消耗量本身（底方克触发方时）或消耗量的一半（触发方克底方时）。</w:t>
      </w:r>
    </w:p>
    <w:p>
      <w:pPr>
        <w:spacing w:after="0" w:before="0" w:line="240" w:lineRule="auto"/>
      </w:pPr>
      <w:r>
        <w:rPr>
          <w:rFonts w:ascii="微软雅黑" w:hAnsi="微软雅黑" w:eastAsia="微软雅黑" w:cs="微软雅黑"/>
          <w:b w:val="0"/>
          <w:color w:val="212121"/>
          <w:sz w:val="18"/>
        </w:rPr>
        <w:t>无克制时双方消耗都等于消耗量。</w:t>
      </w:r>
    </w:p>
    <w:p>
      <w:bookmarkStart w:id="69" w:name="sec_4_2_演算示例"/>
      <w:pPr>
        <w:pStyle w:val="Heading3"/>
        <w:spacing w:after="60" w:before="120" w:line="240" w:lineRule="auto"/>
      </w:pPr>
      <w:r>
        <w:rPr>
          <w:rFonts w:ascii="微软雅黑" w:hAnsi="微软雅黑" w:eastAsia="微软雅黑" w:cs="微软雅黑"/>
          <w:b/>
          <w:color w:val="1A237E"/>
          <w:sz w:val="20"/>
        </w:rPr>
        <w:t>4.2 演算示例</w:t>
      </w:r>
      <w:bookmarkEnd w:id="69"/>
    </w:p>
    <w:p>
      <w:pPr>
        <w:spacing w:after="0" w:before="0" w:line="240" w:lineRule="auto"/>
      </w:pPr>
      <w:r>
        <w:rPr>
          <w:rFonts w:ascii="微软雅黑" w:hAnsi="微软雅黑" w:eastAsia="微软雅黑" w:cs="微软雅黑"/>
          <w:b w:val="0"/>
          <w:color w:val="212121"/>
          <w:sz w:val="18"/>
        </w:rPr>
        <w:t>例一，无克制，火底量一，雷触发量一：</w:t>
      </w:r>
    </w:p>
    <w:p>
      <w:pPr>
        <w:spacing w:after="0" w:before="0" w:line="240" w:lineRule="auto"/>
        <w:ind w:left="280"/>
      </w:pPr>
      <w:r>
        <w:rPr>
          <w:rFonts w:ascii="微软雅黑" w:hAnsi="微软雅黑" w:eastAsia="微软雅黑" w:cs="微软雅黑"/>
          <w:b w:val="0"/>
          <w:color w:val="757575"/>
          <w:sz w:val="16"/>
        </w:rPr>
        <w:t>有效量：火 1，雷 1（雷不参与克制）</w:t>
      </w:r>
    </w:p>
    <w:p>
      <w:pPr>
        <w:spacing w:after="0" w:before="0" w:line="240" w:lineRule="auto"/>
        <w:ind w:left="280"/>
      </w:pPr>
      <w:r>
        <w:rPr>
          <w:rFonts w:ascii="微软雅黑" w:hAnsi="微软雅黑" w:eastAsia="微软雅黑" w:cs="微软雅黑"/>
          <w:b w:val="0"/>
          <w:color w:val="757575"/>
          <w:sz w:val="16"/>
        </w:rPr>
        <w:t>消耗量 = min(1, 1) = 1</w:t>
      </w:r>
    </w:p>
    <w:p>
      <w:pPr>
        <w:spacing w:after="0" w:before="0" w:line="240" w:lineRule="auto"/>
        <w:ind w:left="280"/>
      </w:pPr>
      <w:r>
        <w:rPr>
          <w:rFonts w:ascii="微软雅黑" w:hAnsi="微软雅黑" w:eastAsia="微软雅黑" w:cs="微软雅黑"/>
          <w:b w:val="0"/>
          <w:color w:val="757575"/>
          <w:sz w:val="16"/>
        </w:rPr>
        <w:t>无克制：双方各消耗 1</w:t>
      </w:r>
    </w:p>
    <w:p>
      <w:pPr>
        <w:spacing w:after="0" w:before="0" w:line="240" w:lineRule="auto"/>
        <w:ind w:left="280"/>
      </w:pPr>
      <w:r>
        <w:rPr>
          <w:rFonts w:ascii="微软雅黑" w:hAnsi="微软雅黑" w:eastAsia="微软雅黑" w:cs="微软雅黑"/>
          <w:b w:val="0"/>
          <w:color w:val="757575"/>
          <w:sz w:val="16"/>
        </w:rPr>
        <w:t>火剩 0，雷剩 0，都为零则清除</w:t>
      </w:r>
    </w:p>
    <w:p>
      <w:pPr>
        <w:spacing w:after="0" w:before="0" w:line="240" w:lineRule="auto"/>
        <w:ind w:left="280"/>
      </w:pPr>
      <w:r>
        <w:rPr>
          <w:rFonts w:ascii="微软雅黑" w:hAnsi="微软雅黑" w:eastAsia="微软雅黑" w:cs="微软雅黑"/>
          <w:b w:val="0"/>
          <w:color w:val="757575"/>
          <w:sz w:val="16"/>
        </w:rPr>
        <w:t>结果：元素清空，不残留</w:t>
      </w:r>
    </w:p>
    <w:p>
      <w:pPr>
        <w:spacing w:after="0" w:before="0" w:line="240" w:lineRule="auto"/>
      </w:pPr>
      <w:r>
        <w:rPr>
          <w:rFonts w:ascii="微软雅黑" w:hAnsi="微软雅黑" w:eastAsia="微软雅黑" w:cs="微软雅黑"/>
          <w:b w:val="0"/>
          <w:color w:val="212121"/>
          <w:sz w:val="18"/>
        </w:rPr>
        <w:t>例二，触发方克底方，火底量三，水触发量一：</w:t>
      </w:r>
    </w:p>
    <w:p>
      <w:pPr>
        <w:spacing w:after="0" w:before="0" w:line="240" w:lineRule="auto"/>
        <w:ind w:left="280"/>
      </w:pPr>
      <w:r>
        <w:rPr>
          <w:rFonts w:ascii="微软雅黑" w:hAnsi="微软雅黑" w:eastAsia="微软雅黑" w:cs="微软雅黑"/>
          <w:b w:val="0"/>
          <w:color w:val="757575"/>
          <w:sz w:val="16"/>
        </w:rPr>
        <w:t>有效量：水克火，水有效量 = 1 × 2 = 2；火有效量 = 3</w:t>
      </w:r>
    </w:p>
    <w:p>
      <w:pPr>
        <w:spacing w:after="0" w:before="0" w:line="240" w:lineRule="auto"/>
        <w:ind w:left="280"/>
      </w:pPr>
      <w:r>
        <w:rPr>
          <w:rFonts w:ascii="微软雅黑" w:hAnsi="微软雅黑" w:eastAsia="微软雅黑" w:cs="微软雅黑"/>
          <w:b w:val="0"/>
          <w:color w:val="757575"/>
          <w:sz w:val="16"/>
        </w:rPr>
        <w:t>消耗量 = min(3, 2) = 2</w:t>
      </w:r>
    </w:p>
    <w:p>
      <w:pPr>
        <w:spacing w:after="0" w:before="0" w:line="240" w:lineRule="auto"/>
        <w:ind w:left="280"/>
      </w:pPr>
      <w:r>
        <w:rPr>
          <w:rFonts w:ascii="微软雅黑" w:hAnsi="微软雅黑" w:eastAsia="微软雅黑" w:cs="微软雅黑"/>
          <w:b w:val="0"/>
          <w:color w:val="757575"/>
          <w:sz w:val="16"/>
        </w:rPr>
        <w:t>触发方克底方：火消耗 2，水消耗 2 ÷ 2 = 1</w:t>
      </w:r>
    </w:p>
    <w:p>
      <w:pPr>
        <w:spacing w:after="0" w:before="0" w:line="240" w:lineRule="auto"/>
        <w:ind w:left="280"/>
      </w:pPr>
      <w:r>
        <w:rPr>
          <w:rFonts w:ascii="微软雅黑" w:hAnsi="微软雅黑" w:eastAsia="微软雅黑" w:cs="微软雅黑"/>
          <w:b w:val="0"/>
          <w:color w:val="757575"/>
          <w:sz w:val="16"/>
        </w:rPr>
        <w:t>火剩 1，水剩 0</w:t>
      </w:r>
    </w:p>
    <w:p>
      <w:pPr>
        <w:spacing w:after="0" w:before="0" w:line="240" w:lineRule="auto"/>
        <w:ind w:left="280"/>
      </w:pPr>
      <w:r>
        <w:rPr>
          <w:rFonts w:ascii="微软雅黑" w:hAnsi="微软雅黑" w:eastAsia="微软雅黑" w:cs="微软雅黑"/>
          <w:b w:val="0"/>
          <w:color w:val="757575"/>
          <w:sz w:val="16"/>
        </w:rPr>
        <w:t>结果：保留火，量为一</w:t>
      </w:r>
    </w:p>
    <w:p>
      <w:pPr>
        <w:spacing w:after="0" w:before="0" w:line="240" w:lineRule="auto"/>
      </w:pPr>
      <w:r>
        <w:rPr>
          <w:rFonts w:ascii="微软雅黑" w:hAnsi="微软雅黑" w:eastAsia="微软雅黑" w:cs="微软雅黑"/>
          <w:b w:val="0"/>
          <w:color w:val="212121"/>
          <w:sz w:val="18"/>
        </w:rPr>
        <w:t>水只付出了一点的代价，就消耗掉两点的火。这是克制方以少换多的典型形态——同样多一点水，非克制情境下只能消耗一点火。</w:t>
      </w:r>
    </w:p>
    <w:p>
      <w:pPr>
        <w:spacing w:after="0" w:before="0" w:line="240" w:lineRule="auto"/>
      </w:pPr>
      <w:r>
        <w:rPr>
          <w:rFonts w:ascii="微软雅黑" w:hAnsi="微软雅黑" w:eastAsia="微软雅黑" w:cs="微软雅黑"/>
          <w:b w:val="0"/>
          <w:color w:val="212121"/>
          <w:sz w:val="18"/>
        </w:rPr>
        <w:t>例三，底方克触发方，水底量二，火触发量一，展示保底：</w:t>
      </w:r>
    </w:p>
    <w:p>
      <w:pPr>
        <w:spacing w:after="0" w:before="0" w:line="240" w:lineRule="auto"/>
        <w:ind w:left="280"/>
      </w:pPr>
      <w:r>
        <w:rPr>
          <w:rFonts w:ascii="微软雅黑" w:hAnsi="微软雅黑" w:eastAsia="微软雅黑" w:cs="微软雅黑"/>
          <w:b w:val="0"/>
          <w:color w:val="757575"/>
          <w:sz w:val="16"/>
        </w:rPr>
        <w:t>有效量：水克火，水有效量 = 2 × 2 = 4；火有效量 = 1</w:t>
      </w:r>
    </w:p>
    <w:p>
      <w:pPr>
        <w:spacing w:after="0" w:before="0" w:line="240" w:lineRule="auto"/>
        <w:ind w:left="280"/>
      </w:pPr>
      <w:r>
        <w:rPr>
          <w:rFonts w:ascii="微软雅黑" w:hAnsi="微软雅黑" w:eastAsia="微软雅黑" w:cs="微软雅黑"/>
          <w:b w:val="0"/>
          <w:color w:val="757575"/>
          <w:sz w:val="16"/>
        </w:rPr>
        <w:t>消耗量 = min(4, 1) = 1</w:t>
      </w:r>
    </w:p>
    <w:p>
      <w:pPr>
        <w:spacing w:after="0" w:before="0" w:line="240" w:lineRule="auto"/>
        <w:ind w:left="280"/>
      </w:pPr>
      <w:r>
        <w:rPr>
          <w:rFonts w:ascii="微软雅黑" w:hAnsi="微软雅黑" w:eastAsia="微软雅黑" w:cs="微软雅黑"/>
          <w:b w:val="0"/>
          <w:color w:val="757575"/>
          <w:sz w:val="16"/>
        </w:rPr>
        <w:t>底方克触发方：水消耗取 max(1 ÷ 2, 1) = max(0, 1) = 1；火消耗 1</w:t>
      </w:r>
    </w:p>
    <w:p>
      <w:pPr>
        <w:spacing w:after="0" w:before="0" w:line="240" w:lineRule="auto"/>
        <w:ind w:left="280"/>
      </w:pPr>
      <w:r>
        <w:rPr>
          <w:rFonts w:ascii="微软雅黑" w:hAnsi="微软雅黑" w:eastAsia="微软雅黑" w:cs="微软雅黑"/>
          <w:b w:val="0"/>
          <w:color w:val="757575"/>
          <w:sz w:val="16"/>
        </w:rPr>
        <w:t>水剩 1，火剩 0</w:t>
      </w:r>
    </w:p>
    <w:p>
      <w:pPr>
        <w:spacing w:after="0" w:before="0" w:line="240" w:lineRule="auto"/>
        <w:ind w:left="280"/>
      </w:pPr>
      <w:r>
        <w:rPr>
          <w:rFonts w:ascii="微软雅黑" w:hAnsi="微软雅黑" w:eastAsia="微软雅黑" w:cs="微软雅黑"/>
          <w:b w:val="0"/>
          <w:color w:val="757575"/>
          <w:sz w:val="16"/>
        </w:rPr>
        <w:t>结果：保留水，量为一</w:t>
      </w:r>
    </w:p>
    <w:p>
      <w:pPr>
        <w:spacing w:after="0" w:before="0" w:line="240" w:lineRule="auto"/>
      </w:pPr>
      <w:r>
        <w:rPr>
          <w:rFonts w:ascii="微软雅黑" w:hAnsi="微软雅黑" w:eastAsia="微软雅黑" w:cs="微软雅黑"/>
          <w:b w:val="0"/>
          <w:color w:val="212121"/>
          <w:sz w:val="18"/>
        </w:rPr>
        <w:t>这里的保底是必要的。整数除法下的一半为零，若无保底，水将以零代价保留底元素，反应等于没有发生。</w:t>
      </w:r>
    </w:p>
    <w:p>
      <w:pPr>
        <w:spacing w:after="0" w:before="0" w:line="240" w:lineRule="auto"/>
      </w:pPr>
      <w:r>
        <w:rPr>
          <w:rFonts w:ascii="微软雅黑" w:hAnsi="微软雅黑" w:eastAsia="微软雅黑" w:cs="微软雅黑"/>
          <w:b w:val="0"/>
          <w:color w:val="212121"/>
          <w:sz w:val="18"/>
        </w:rPr>
        <w:t>例四，触发方克底方且双方量相等，火底量二，水触发量一：</w:t>
      </w:r>
    </w:p>
    <w:p>
      <w:pPr>
        <w:spacing w:after="0" w:before="0" w:line="240" w:lineRule="auto"/>
        <w:ind w:left="280"/>
      </w:pPr>
      <w:r>
        <w:rPr>
          <w:rFonts w:ascii="微软雅黑" w:hAnsi="微软雅黑" w:eastAsia="微软雅黑" w:cs="微软雅黑"/>
          <w:b w:val="0"/>
          <w:color w:val="757575"/>
          <w:sz w:val="16"/>
        </w:rPr>
        <w:t>有效量：水克火，水有效量 = 1 × 2 = 2；火有效量 = 2</w:t>
      </w:r>
    </w:p>
    <w:p>
      <w:pPr>
        <w:spacing w:after="0" w:before="0" w:line="240" w:lineRule="auto"/>
        <w:ind w:left="280"/>
      </w:pPr>
      <w:r>
        <w:rPr>
          <w:rFonts w:ascii="微软雅黑" w:hAnsi="微软雅黑" w:eastAsia="微软雅黑" w:cs="微软雅黑"/>
          <w:b w:val="0"/>
          <w:color w:val="757575"/>
          <w:sz w:val="16"/>
        </w:rPr>
        <w:t>消耗量 = min(2, 2) = 2</w:t>
      </w:r>
    </w:p>
    <w:p>
      <w:pPr>
        <w:spacing w:after="0" w:before="0" w:line="240" w:lineRule="auto"/>
        <w:ind w:left="280"/>
      </w:pPr>
      <w:r>
        <w:rPr>
          <w:rFonts w:ascii="微软雅黑" w:hAnsi="微软雅黑" w:eastAsia="微软雅黑" w:cs="微软雅黑"/>
          <w:b w:val="0"/>
          <w:color w:val="757575"/>
          <w:sz w:val="16"/>
        </w:rPr>
        <w:t>触发方克底方：火消耗 2，水消耗 2 ÷ 2 = 1</w:t>
      </w:r>
    </w:p>
    <w:p>
      <w:pPr>
        <w:spacing w:after="0" w:before="0" w:line="240" w:lineRule="auto"/>
        <w:ind w:left="280"/>
      </w:pPr>
      <w:r>
        <w:rPr>
          <w:rFonts w:ascii="微软雅黑" w:hAnsi="微软雅黑" w:eastAsia="微软雅黑" w:cs="微软雅黑"/>
          <w:b w:val="0"/>
          <w:color w:val="757575"/>
          <w:sz w:val="16"/>
        </w:rPr>
        <w:t>火剩 0，水剩 0</w:t>
      </w:r>
    </w:p>
    <w:p>
      <w:pPr>
        <w:spacing w:after="0" w:before="0" w:line="240" w:lineRule="auto"/>
        <w:ind w:left="280"/>
      </w:pPr>
      <w:r>
        <w:rPr>
          <w:rFonts w:ascii="微软雅黑" w:hAnsi="微软雅黑" w:eastAsia="微软雅黑" w:cs="微软雅黑"/>
          <w:b w:val="0"/>
          <w:color w:val="757575"/>
          <w:sz w:val="16"/>
        </w:rPr>
        <w:t>结果：元素清空</w:t>
      </w:r>
    </w:p>
    <w:p>
      <w:pPr>
        <w:spacing w:after="0" w:before="0" w:line="240" w:lineRule="auto"/>
      </w:pPr>
      <w:r>
        <w:rPr>
          <w:rFonts w:ascii="微软雅黑" w:hAnsi="微软雅黑" w:eastAsia="微软雅黑" w:cs="微软雅黑"/>
          <w:b w:val="0"/>
          <w:color w:val="212121"/>
          <w:sz w:val="18"/>
        </w:rPr>
        <w:t>例五，同种元素累加，火底量一，火触发量一，上限为五：</w:t>
      </w:r>
    </w:p>
    <w:p>
      <w:pPr>
        <w:spacing w:after="0" w:before="0" w:line="240" w:lineRule="auto"/>
        <w:ind w:left="280"/>
      </w:pPr>
      <w:r>
        <w:rPr>
          <w:rFonts w:ascii="微软雅黑" w:hAnsi="微软雅黑" w:eastAsia="微软雅黑" w:cs="微软雅黑"/>
          <w:b w:val="0"/>
          <w:color w:val="757575"/>
          <w:sz w:val="16"/>
        </w:rPr>
        <w:t>情况为同种元素</w:t>
      </w:r>
    </w:p>
    <w:p>
      <w:pPr>
        <w:spacing w:after="0" w:before="0" w:line="240" w:lineRule="auto"/>
        <w:ind w:left="280"/>
      </w:pPr>
      <w:r>
        <w:rPr>
          <w:rFonts w:ascii="微软雅黑" w:hAnsi="微软雅黑" w:eastAsia="微软雅黑" w:cs="微软雅黑"/>
          <w:b w:val="0"/>
          <w:color w:val="757575"/>
          <w:sz w:val="16"/>
        </w:rPr>
        <w:t>结果 = min(1 + 1, 5) = 2</w:t>
      </w:r>
    </w:p>
    <w:p>
      <w:pPr>
        <w:spacing w:after="0" w:before="0" w:line="240" w:lineRule="auto"/>
        <w:ind w:left="280"/>
      </w:pPr>
      <w:r>
        <w:rPr>
          <w:rFonts w:ascii="微软雅黑" w:hAnsi="微软雅黑" w:eastAsia="微软雅黑" w:cs="微软雅黑"/>
          <w:b w:val="0"/>
          <w:color w:val="757575"/>
          <w:sz w:val="16"/>
        </w:rPr>
        <w:t>不触发反应，只增量</w:t>
      </w:r>
    </w:p>
    <w:p>
      <w:pPr>
        <w:spacing w:after="0" w:before="0" w:line="240" w:lineRule="auto"/>
      </w:pPr>
      <w:r>
        <w:rPr>
          <w:rFonts w:ascii="微软雅黑" w:hAnsi="微软雅黑" w:eastAsia="微软雅黑" w:cs="微软雅黑"/>
          <w:b w:val="0"/>
          <w:color w:val="212121"/>
          <w:sz w:val="18"/>
        </w:rPr>
        <w:t>连续附上同种元素是攒量的手段。攒到接近上限时，一击异元素就能触发一次深度反应。</w:t>
      </w:r>
    </w:p>
    <w:p>
      <w:bookmarkStart w:id="70" w:name="sec_4_3_反应数值表"/>
      <w:pPr>
        <w:pStyle w:val="Heading3"/>
        <w:spacing w:after="60" w:before="120" w:line="240" w:lineRule="auto"/>
      </w:pPr>
      <w:r>
        <w:rPr>
          <w:rFonts w:ascii="微软雅黑" w:hAnsi="微软雅黑" w:eastAsia="微软雅黑" w:cs="微软雅黑"/>
          <w:b/>
          <w:color w:val="1A237E"/>
          <w:sz w:val="20"/>
        </w:rPr>
        <w:t>4.3 反应数值表</w:t>
      </w:r>
      <w:bookmarkEnd w:id="70"/>
    </w:p>
    <w:p>
      <w:pPr>
        <w:spacing w:after="0" w:before="0" w:line="240" w:lineRule="auto"/>
      </w:pPr>
      <w:r>
        <w:rPr>
          <w:rFonts w:ascii="微软雅黑" w:hAnsi="微软雅黑" w:eastAsia="微软雅黑" w:cs="微软雅黑"/>
          <w:b w:val="0"/>
          <w:color w:val="212121"/>
          <w:sz w:val="18"/>
        </w:rPr>
        <w:t>六种反应在实际配置中的数值如下。倍率按方向分别列出，左为底元素、右为触发元素。</w:t>
      </w:r>
    </w:p>
    <w:tbl>
      <w:tblPr>
        <w:tblW w:type="auto" w:w="0"/>
        <w:jc w:val="center"/>
        <w:tblLook w:firstColumn="1" w:firstRow="1" w:lastColumn="0" w:lastRow="0" w:noHBand="0" w:noVBand="1" w:val="04A0"/>
        <w:tblLayout w:type="fixed"/>
        <w:tblW w:w="6284" w:type="dxa"/>
      </w:tblPr>
      <w:tblGrid>
        <w:gridCol w:w="626"/>
        <w:gridCol w:w="1166"/>
        <w:gridCol w:w="986"/>
        <w:gridCol w:w="3506"/>
      </w:tblGrid>
      <w:tr>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反应</w:t>
            </w:r>
          </w:p>
        </w:tc>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组合与方向</w:t>
            </w:r>
          </w:p>
        </w:tc>
        <w:tc>
          <w:tcPr>
            <w:tcW w:type="dxa" w:w="9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伤害倍率</w:t>
            </w:r>
          </w:p>
        </w:tc>
        <w:tc>
          <w:tcPr>
            <w:tcW w:type="dxa" w:w="35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附加效果</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蒸发</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火底水触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1.5</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蒸发</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水底火触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融化</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火底冰触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融化</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冰底火触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1.5</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超载</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火底雷触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额外固定伤害十点，击退一格</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超载</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雷底火触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额外固定伤害十点，击退一格</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水底雷触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0.5</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持续伤害每回合五点，持续两回合</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雷底水触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0.5</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持续伤害每回合五点，持续两回合</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水底冰触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冻结一回合</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冰底水触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冻结一回合</w:t>
            </w:r>
          </w:p>
        </w:tc>
      </w:tr>
      <w:tr>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超导</w:t>
            </w:r>
          </w:p>
        </w:tc>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雷底冰触</w:t>
            </w:r>
          </w:p>
        </w:tc>
        <w:tc>
          <w:tcPr>
            <w:tcW w:type="dxa" w:w="9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0.8</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防御削减五点，持续一回合，当次即生效</w:t>
            </w:r>
          </w:p>
        </w:tc>
      </w:tr>
      <w:tr>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超导</w:t>
            </w:r>
          </w:p>
        </w:tc>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冰底雷触</w:t>
            </w:r>
          </w:p>
        </w:tc>
        <w:tc>
          <w:tcPr>
            <w:tcW w:type="dxa" w:w="9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0.8</w:t>
            </w:r>
          </w:p>
        </w:tc>
        <w:tc>
          <w:tcPr>
            <w:tcW w:type="dxa" w:w="35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防御削减五点，持续一回合，当次即生效</w:t>
            </w:r>
          </w:p>
        </w:tc>
      </w:tr>
    </w:tbl>
    <w:p>
      <w:pPr>
        <w:spacing w:after="0" w:before="0" w:line="240" w:lineRule="auto"/>
      </w:pPr>
      <w:r>
        <w:rPr>
          <w:rFonts w:ascii="微软雅黑" w:hAnsi="微软雅黑" w:eastAsia="微软雅黑" w:cs="微软雅黑"/>
          <w:b w:val="0"/>
          <w:color w:val="212121"/>
          <w:sz w:val="18"/>
        </w:rPr>
        <w:t>倍率的方向差异是刻意的：火被水克制，因此水发起时收益更高；冰被火克制，因此火发起时收益更高。双方的数值差距正是克制关系在伤害层面的间接体现。</w:t>
      </w:r>
    </w:p>
    <w:p>
      <w:pPr>
        <w:spacing w:after="0" w:before="0" w:line="240" w:lineRule="auto"/>
      </w:pPr>
      <w:r>
        <w:rPr>
          <w:rFonts w:ascii="微软雅黑" w:hAnsi="微软雅黑" w:eastAsia="微软雅黑" w:cs="微软雅黑"/>
          <w:b w:val="0"/>
          <w:color w:val="212121"/>
          <w:sz w:val="18"/>
        </w:rPr>
        <w:t>感电的倍率低于一，它的价值不在这一击，而在后续两回合的持续伤害。超导的倍率同样低于一，它用伤害换取目标后续防御的长期下降。</w:t>
      </w:r>
    </w:p>
    <w:p>
      <w:bookmarkStart w:id="71" w:name="sec_4_4_附着上限"/>
      <w:pPr>
        <w:pStyle w:val="Heading3"/>
        <w:spacing w:after="60" w:before="120" w:line="240" w:lineRule="auto"/>
      </w:pPr>
      <w:r>
        <w:rPr>
          <w:rFonts w:ascii="微软雅黑" w:hAnsi="微软雅黑" w:eastAsia="微软雅黑" w:cs="微软雅黑"/>
          <w:b/>
          <w:color w:val="1A237E"/>
          <w:sz w:val="20"/>
        </w:rPr>
        <w:t>4.4 附着上限</w:t>
      </w:r>
      <w:bookmarkEnd w:id="71"/>
    </w:p>
    <w:p>
      <w:pPr>
        <w:spacing w:after="0" w:before="0" w:line="240" w:lineRule="auto"/>
      </w:pPr>
      <w:r>
        <w:rPr>
          <w:rFonts w:ascii="微软雅黑" w:hAnsi="微软雅黑" w:eastAsia="微软雅黑" w:cs="微软雅黑"/>
          <w:b w:val="0"/>
          <w:color w:val="212121"/>
          <w:sz w:val="18"/>
        </w:rPr>
        <w:t>附着上限是棋子模型上的固定常量，值为五。它不通过配置资产覆盖，因此调整上限需要改动代码而非资产。</w:t>
      </w:r>
    </w:p>
    <w:p>
      <w:pPr>
        <w:spacing w:after="0" w:before="0" w:line="240" w:lineRule="auto"/>
      </w:pPr>
      <w:r>
        <w:rPr>
          <w:rFonts w:ascii="微软雅黑" w:hAnsi="微软雅黑" w:eastAsia="微软雅黑" w:cs="微软雅黑"/>
          <w:b w:val="0"/>
          <w:color w:val="212121"/>
          <w:sz w:val="18"/>
        </w:rPr>
        <w:t>上限的作用点只有一处：同种元素累加时的钳制。异种元素的消耗流程不涉及上限，因为消耗只会让量减少。</w:t>
      </w:r>
    </w:p>
    <w:p>
      <w:bookmarkStart w:id="72" w:name="sec_5_数据结构"/>
      <w:pPr>
        <w:pStyle w:val="Heading2"/>
        <w:spacing w:after="80" w:before="160" w:line="240" w:lineRule="auto"/>
      </w:pPr>
      <w:r>
        <w:rPr>
          <w:rFonts w:ascii="微软雅黑" w:hAnsi="微软雅黑" w:eastAsia="微软雅黑" w:cs="微软雅黑"/>
          <w:b/>
          <w:color w:val="1A237E"/>
          <w:sz w:val="22"/>
        </w:rPr>
        <w:t>5. 数据结构</w:t>
      </w:r>
      <w:bookmarkEnd w:id="72"/>
    </w:p>
    <w:p>
      <w:bookmarkStart w:id="73" w:name="sec_5_1_反应配置"/>
      <w:pPr>
        <w:pStyle w:val="Heading3"/>
        <w:spacing w:after="60" w:before="120" w:line="240" w:lineRule="auto"/>
      </w:pPr>
      <w:r>
        <w:rPr>
          <w:rFonts w:ascii="微软雅黑" w:hAnsi="微软雅黑" w:eastAsia="微软雅黑" w:cs="微软雅黑"/>
          <w:b/>
          <w:color w:val="1A237E"/>
          <w:sz w:val="20"/>
        </w:rPr>
        <w:t>5.1 反应配置</w:t>
      </w:r>
      <w:bookmarkEnd w:id="73"/>
    </w:p>
    <w:p>
      <w:pPr>
        <w:spacing w:after="0" w:before="0" w:line="240" w:lineRule="auto"/>
      </w:pPr>
      <w:r>
        <w:rPr>
          <w:rFonts w:ascii="微软雅黑" w:hAnsi="微软雅黑" w:eastAsia="微软雅黑" w:cs="微软雅黑"/>
          <w:b w:val="0"/>
          <w:color w:val="212121"/>
          <w:sz w:val="18"/>
        </w:rPr>
        <w:t>反应配置是描述一种反应参数的结构，全部为公有字段。未配置的字段取各自类型的零值。</w:t>
      </w:r>
    </w:p>
    <w:tbl>
      <w:tblPr>
        <w:tblW w:type="auto" w:w="0"/>
        <w:jc w:val="center"/>
        <w:tblLook w:firstColumn="1" w:firstRow="1" w:lastColumn="0" w:lastRow="0" w:noHBand="0" w:noVBand="1" w:val="04A0"/>
        <w:tblLayout w:type="fixed"/>
        <w:tblW w:w="8195" w:type="dxa"/>
      </w:tblPr>
      <w:tblGrid>
        <w:gridCol w:w="1166"/>
        <w:gridCol w:w="2311"/>
        <w:gridCol w:w="1846"/>
        <w:gridCol w:w="2246"/>
        <w:gridCol w:w="626"/>
      </w:tblGrid>
      <w:tr>
        <w:tc>
          <w:tcPr>
            <w:tcW w:type="dxa" w:w="11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字段中文名</w:t>
            </w:r>
          </w:p>
        </w:tc>
        <w:tc>
          <w:tcPr>
            <w:tcW w:type="dxa" w:w="2311"/>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字段英文名</w:t>
            </w:r>
          </w:p>
        </w:tc>
        <w:tc>
          <w:tcPr>
            <w:tcW w:type="dxa" w:w="18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类型</w:t>
            </w:r>
          </w:p>
        </w:tc>
        <w:tc>
          <w:tcPr>
            <w:tcW w:type="dxa" w:w="22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注释</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示例</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反应类型</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Type</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ReactionType 枚举</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该反应的类型标识</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蒸发</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伤害倍率</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DamageMultiplier</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float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乘在基础伤害上</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1.5</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清除底元素</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ClearBase</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bool</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保留字段，无逻辑读取</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否</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额外伤害</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ExtraDamage</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在倍率之后加，不吃倍率</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10</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持续伤害</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DotDamagePerTurn</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感电；由回合循环结算</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5</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持续回合</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DotTurns</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感电</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2</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防御削减值</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DefenseReduction</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超导；伤害计算前预设</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5</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减防回合</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DefenseReductionTurns</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超导；零表示仅当次</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w:t>
            </w:r>
          </w:p>
        </w:tc>
      </w:tr>
      <w:tr>
        <w:tc>
          <w:tcPr>
            <w:tcW w:type="dxa" w:w="11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冻结回合数</w:t>
            </w:r>
          </w:p>
        </w:tc>
        <w:tc>
          <w:tcPr>
            <w:tcW w:type="dxa" w:w="2311"/>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FreezeTurns</w:t>
            </w:r>
          </w:p>
        </w:tc>
        <w:tc>
          <w:tcPr>
            <w:tcW w:type="dxa" w:w="18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冻结；行动时拦截</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1</w:t>
            </w:r>
          </w:p>
        </w:tc>
      </w:tr>
      <w:tr>
        <w:tc>
          <w:tcPr>
            <w:tcW w:type="dxa" w:w="11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击退格数</w:t>
            </w:r>
          </w:p>
        </w:tc>
        <w:tc>
          <w:tcPr>
            <w:tcW w:type="dxa" w:w="2311"/>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KnockbackDistance</w:t>
            </w:r>
          </w:p>
        </w:tc>
        <w:tc>
          <w:tcPr>
            <w:tcW w:type="dxa" w:w="18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int</w:t>
            </w:r>
          </w:p>
        </w:tc>
        <w:tc>
          <w:tcPr>
            <w:tcW w:type="dxa" w:w="22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超载；伤害结算后处理</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1</w:t>
            </w:r>
          </w:p>
        </w:tc>
      </w:tr>
    </w:tbl>
    <w:p>
      <w:pPr>
        <w:spacing w:after="0" w:before="0" w:line="240" w:lineRule="auto"/>
      </w:pPr>
      <w:r>
        <w:rPr>
          <w:rFonts w:ascii="微软雅黑" w:hAnsi="微软雅黑" w:eastAsia="微软雅黑" w:cs="微软雅黑"/>
          <w:b w:val="0"/>
          <w:color w:val="212121"/>
          <w:sz w:val="18"/>
        </w:rPr>
        <w:t>是否清除底元素字段在配置资产中有一席之地，但当前没有任何逻辑读取它。底元素的清除完全由消耗流程的结果决定：底方量被扣光即清除，与这个字段无关。保留它是为后续版本预留，使用前不要假定它生效。</w:t>
      </w:r>
    </w:p>
    <w:p>
      <w:bookmarkStart w:id="74" w:name="sec_5_2_反应数据表"/>
      <w:pPr>
        <w:pStyle w:val="Heading3"/>
        <w:spacing w:after="60" w:before="120" w:line="240" w:lineRule="auto"/>
      </w:pPr>
      <w:r>
        <w:rPr>
          <w:rFonts w:ascii="微软雅黑" w:hAnsi="微软雅黑" w:eastAsia="微软雅黑" w:cs="微软雅黑"/>
          <w:b/>
          <w:color w:val="1A237E"/>
          <w:sz w:val="20"/>
        </w:rPr>
        <w:t>5.2 反应数据表</w:t>
      </w:r>
      <w:bookmarkEnd w:id="74"/>
    </w:p>
    <w:p>
      <w:pPr>
        <w:spacing w:after="0" w:before="0" w:line="240" w:lineRule="auto"/>
      </w:pPr>
      <w:r>
        <w:rPr>
          <w:rFonts w:ascii="微软雅黑" w:hAnsi="微软雅黑" w:eastAsia="微软雅黑" w:cs="微软雅黑"/>
          <w:b w:val="0"/>
          <w:color w:val="212121"/>
          <w:sz w:val="18"/>
        </w:rPr>
        <w:t>反应数据表是一份可配置资产，按底元素与触发元素两个键查到对应的反应配置。</w:t>
      </w:r>
    </w:p>
    <w:tbl>
      <w:tblPr>
        <w:tblW w:type="auto" w:w="0"/>
        <w:jc w:val="center"/>
        <w:tblLook w:firstColumn="1" w:firstRow="1" w:lastColumn="0" w:lastRow="0" w:noHBand="0" w:noVBand="1" w:val="04A0"/>
        <w:tblLayout w:type="fixed"/>
        <w:tblW w:w="6472" w:type="dxa"/>
      </w:tblPr>
      <w:tblGrid>
        <w:gridCol w:w="1346"/>
        <w:gridCol w:w="5126"/>
      </w:tblGrid>
      <w:tr>
        <w:tc>
          <w:tcPr>
            <w:tcW w:type="dxa" w:w="13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成员</w:t>
            </w:r>
          </w:p>
        </w:tc>
        <w:tc>
          <w:tcPr>
            <w:tcW w:type="dxa" w:w="51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3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按组合查配置</w:t>
            </w:r>
          </w:p>
        </w:tc>
        <w:tc>
          <w:tcPr>
            <w:tcW w:type="dxa" w:w="51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传入底元素与触发元素，输出反应配置；查不到时返回空反应</w:t>
            </w:r>
          </w:p>
        </w:tc>
      </w:tr>
      <w:tr>
        <w:tc>
          <w:tcPr>
            <w:tcW w:type="dxa" w:w="13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条目集合</w:t>
            </w:r>
          </w:p>
        </w:tc>
        <w:tc>
          <w:tcPr>
            <w:tcW w:type="dxa" w:w="51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每条条目含底元素、触发元素、反应配置三部分</w:t>
            </w:r>
          </w:p>
        </w:tc>
      </w:tr>
    </w:tbl>
    <w:p>
      <w:pPr>
        <w:spacing w:after="0" w:before="0" w:line="240" w:lineRule="auto"/>
      </w:pPr>
      <w:r>
        <w:rPr>
          <w:rFonts w:ascii="微软雅黑" w:hAnsi="微软雅黑" w:eastAsia="微软雅黑" w:cs="微软雅黑"/>
          <w:b w:val="0"/>
          <w:color w:val="212121"/>
          <w:sz w:val="18"/>
        </w:rPr>
        <w:t>配置资产位置：</w:t>
      </w:r>
      <w:r>
        <w:rPr>
          <w:rFonts w:ascii="微软雅黑" w:hAnsi="微软雅黑" w:eastAsia="微软雅黑" w:cs="微软雅黑"/>
          <w:b w:val="0"/>
          <w:color w:val="212121"/>
          <w:sz w:val="18"/>
        </w:rPr>
        <w:t>Assets/Game/Resources/ReactionDatabase.asset</w:t>
      </w:r>
      <w:r>
        <w:rPr>
          <w:rFonts w:ascii="微软雅黑" w:hAnsi="微软雅黑" w:eastAsia="微软雅黑" w:cs="微软雅黑"/>
          <w:b w:val="0"/>
          <w:color w:val="212121"/>
          <w:sz w:val="18"/>
        </w:rPr>
        <w:t>。当前共十二条，覆盖六种反应的正反两个方向。</w:t>
      </w:r>
    </w:p>
    <w:p>
      <w:bookmarkStart w:id="75" w:name="sec_5_3_静态查询入口"/>
      <w:pPr>
        <w:pStyle w:val="Heading3"/>
        <w:spacing w:after="60" w:before="120" w:line="240" w:lineRule="auto"/>
      </w:pPr>
      <w:r>
        <w:rPr>
          <w:rFonts w:ascii="微软雅黑" w:hAnsi="微软雅黑" w:eastAsia="微软雅黑" w:cs="微软雅黑"/>
          <w:b/>
          <w:color w:val="1A237E"/>
          <w:sz w:val="20"/>
        </w:rPr>
        <w:t>5.3 静态查询入口</w:t>
      </w:r>
      <w:bookmarkEnd w:id="75"/>
    </w:p>
    <w:p>
      <w:pPr>
        <w:spacing w:after="0" w:before="0" w:line="240" w:lineRule="auto"/>
      </w:pPr>
      <w:r>
        <w:rPr>
          <w:rFonts w:ascii="微软雅黑" w:hAnsi="微软雅黑" w:eastAsia="微软雅黑" w:cs="微软雅黑"/>
          <w:b w:val="0"/>
          <w:color w:val="212121"/>
          <w:sz w:val="18"/>
        </w:rPr>
        <w:t>静态入口对外提供本系统的全部查询与结算能力。</w:t>
      </w:r>
    </w:p>
    <w:tbl>
      <w:tblPr>
        <w:tblW w:type="auto" w:w="0"/>
        <w:jc w:val="center"/>
        <w:tblLook w:firstColumn="1" w:firstRow="1" w:lastColumn="0" w:lastRow="0" w:noHBand="0" w:noVBand="1" w:val="04A0"/>
        <w:tblLayout w:type="fixed"/>
        <w:tblW w:w="7638" w:type="dxa"/>
      </w:tblPr>
      <w:tblGrid>
        <w:gridCol w:w="1526"/>
        <w:gridCol w:w="3146"/>
        <w:gridCol w:w="2966"/>
      </w:tblGrid>
      <w:tr>
        <w:tc>
          <w:tcPr>
            <w:tcW w:type="dxa" w:w="15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方法</w:t>
            </w:r>
          </w:p>
        </w:tc>
        <w:tc>
          <w:tcPr>
            <w:tcW w:type="dxa" w:w="314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签名要点</w:t>
            </w:r>
          </w:p>
        </w:tc>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元素系统开关</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无参属性</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转发当前城邦是否元素城邦</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查反应</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底元素、触发元素</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基础查询，返回反应配置</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查反应带修饰器</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底元素、触发元素、修饰器列表</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装备被动可介入改写参数</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克制判定</w:t>
            </w:r>
          </w:p>
        </w:tc>
        <w:tc>
          <w:tcPr>
            <w:tcW w:type="dxa" w:w="314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攻击方、防御方</w:t>
            </w:r>
          </w:p>
        </w:tc>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单向克制表，返回布尔值</w:t>
            </w:r>
          </w:p>
        </w:tc>
      </w:tr>
      <w:tr>
        <w:tc>
          <w:tcPr>
            <w:tcW w:type="dxa" w:w="15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元素交互结算</w:t>
            </w:r>
          </w:p>
        </w:tc>
        <w:tc>
          <w:tcPr>
            <w:tcW w:type="dxa" w:w="314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底元素、底元量、触发元素、触发量</w:t>
            </w:r>
          </w:p>
        </w:tc>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消耗算法，返回结算后的元素与量</w:t>
            </w:r>
          </w:p>
        </w:tc>
      </w:tr>
    </w:tbl>
    <w:p>
      <w:bookmarkStart w:id="76" w:name="sec_5_4_运行时覆盖表"/>
      <w:pPr>
        <w:pStyle w:val="Heading3"/>
        <w:spacing w:after="60" w:before="120" w:line="240" w:lineRule="auto"/>
      </w:pPr>
      <w:r>
        <w:rPr>
          <w:rFonts w:ascii="微软雅黑" w:hAnsi="微软雅黑" w:eastAsia="微软雅黑" w:cs="微软雅黑"/>
          <w:b/>
          <w:color w:val="1A237E"/>
          <w:sz w:val="20"/>
        </w:rPr>
        <w:t>5.4 运行时覆盖表</w:t>
      </w:r>
      <w:bookmarkEnd w:id="76"/>
    </w:p>
    <w:p>
      <w:pPr>
        <w:spacing w:after="0" w:before="0" w:line="240" w:lineRule="auto"/>
      </w:pPr>
      <w:r>
        <w:rPr>
          <w:rFonts w:ascii="微软雅黑" w:hAnsi="微软雅黑" w:eastAsia="微软雅黑" w:cs="微软雅黑"/>
          <w:b w:val="0"/>
          <w:color w:val="212121"/>
          <w:sz w:val="18"/>
        </w:rPr>
        <w:t>运行时覆盖表允许在单局中临时改写某个组合的反应参数，并在若干回合后自动失效。</w:t>
      </w:r>
    </w:p>
    <w:tbl>
      <w:tblPr>
        <w:tblW w:type="auto" w:w="0"/>
        <w:jc w:val="center"/>
        <w:tblLook w:firstColumn="1" w:firstRow="1" w:lastColumn="0" w:lastRow="0" w:noHBand="0" w:noVBand="1" w:val="04A0"/>
        <w:tblLayout w:type="fixed"/>
        <w:tblW w:w="5032" w:type="dxa"/>
      </w:tblPr>
      <w:tblGrid>
        <w:gridCol w:w="1526"/>
        <w:gridCol w:w="3506"/>
      </w:tblGrid>
      <w:tr>
        <w:tc>
          <w:tcPr>
            <w:tcW w:type="dxa" w:w="15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方法</w:t>
            </w:r>
          </w:p>
        </w:tc>
        <w:tc>
          <w:tcPr>
            <w:tcW w:type="dxa" w:w="35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设置覆盖</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传入组合、配置与持续回合数，写入覆盖</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推进覆盖计时</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每回合递减，归零时移除</w:t>
            </w:r>
          </w:p>
        </w:tc>
      </w:tr>
      <w:tr>
        <w:tc>
          <w:tcPr>
            <w:tcW w:type="dxa" w:w="15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挂载全局修饰器</w:t>
            </w:r>
          </w:p>
        </w:tc>
        <w:tc>
          <w:tcPr>
            <w:tcW w:type="dxa" w:w="35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加入全局修饰器链，供全部棋子共享</w:t>
            </w:r>
          </w:p>
        </w:tc>
      </w:tr>
      <w:tr>
        <w:tc>
          <w:tcPr>
            <w:tcW w:type="dxa" w:w="15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移除全局修饰器</w:t>
            </w:r>
          </w:p>
        </w:tc>
        <w:tc>
          <w:tcPr>
            <w:tcW w:type="dxa" w:w="35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从全局链中摘除</w:t>
            </w:r>
          </w:p>
        </w:tc>
      </w:tr>
    </w:tbl>
    <w:p>
      <w:pPr>
        <w:spacing w:after="0" w:before="0" w:line="240" w:lineRule="auto"/>
      </w:pPr>
      <w:r>
        <w:rPr>
          <w:rFonts w:ascii="微软雅黑" w:hAnsi="微软雅黑" w:eastAsia="微软雅黑" w:cs="微软雅黑"/>
          <w:b w:val="0"/>
          <w:color w:val="212121"/>
          <w:sz w:val="18"/>
        </w:rPr>
        <w:t>覆盖条目的命中优先级高于修饰器链。一旦某个组合存在覆盖，查询直接返回覆盖值，不再经过任何修饰器。</w:t>
      </w:r>
    </w:p>
    <w:p>
      <w:bookmarkStart w:id="77" w:name="sec_6_配置与资源"/>
      <w:pPr>
        <w:pStyle w:val="Heading2"/>
        <w:spacing w:after="80" w:before="160" w:line="240" w:lineRule="auto"/>
      </w:pPr>
      <w:r>
        <w:rPr>
          <w:rFonts w:ascii="微软雅黑" w:hAnsi="微软雅黑" w:eastAsia="微软雅黑" w:cs="微软雅黑"/>
          <w:b/>
          <w:color w:val="1A237E"/>
          <w:sz w:val="22"/>
        </w:rPr>
        <w:t>6. 配置与资源</w:t>
      </w:r>
      <w:bookmarkEnd w:id="77"/>
    </w:p>
    <w:tbl>
      <w:tblPr>
        <w:tblW w:type="auto" w:w="0"/>
        <w:jc w:val="center"/>
        <w:tblLook w:firstColumn="1" w:firstRow="1" w:lastColumn="0" w:lastRow="0" w:noHBand="0" w:noVBand="1" w:val="04A0"/>
        <w:tblLayout w:type="fixed"/>
        <w:tblW w:w="8300" w:type="dxa"/>
      </w:tblPr>
      <w:tblGrid>
        <w:gridCol w:w="4078"/>
        <w:gridCol w:w="4221"/>
      </w:tblGrid>
      <w:tr>
        <w:tc>
          <w:tcPr>
            <w:tcW w:type="dxa" w:w="4078"/>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配置项</w:t>
            </w:r>
          </w:p>
        </w:tc>
        <w:tc>
          <w:tcPr>
            <w:tcW w:type="dxa" w:w="4222"/>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位置</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反应参数（倍率、额外伤害、持续伤害、减防、冻结、击退）</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Assets/Game/Resources/ReactionDatabase.asset</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元素系统开关</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当前城邦是否为元素城邦</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护盾元素染色开关</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元素城邦配置中的护盾染色字段</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元素伤害跳字颜色</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全局配置中的四元素伤害颜色</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反应跳字颜色</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全局配置中的反应专用颜色，含通用反应色与六种反应各自颜色</w:t>
            </w:r>
          </w:p>
        </w:tc>
      </w:tr>
      <w:tr>
        <w:tc>
          <w:tcPr>
            <w:tcW w:type="dxa" w:w="4078"/>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元素附着上限</w:t>
            </w:r>
          </w:p>
        </w:tc>
        <w:tc>
          <w:tcPr>
            <w:tcW w:type="dxa" w:w="4222"/>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棋子模型上的编译期常量，值五，无资产覆盖点</w:t>
            </w:r>
          </w:p>
        </w:tc>
      </w:tr>
      <w:tr>
        <w:tc>
          <w:tcPr>
            <w:tcW w:type="dxa" w:w="4078"/>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是否携带元素</w:t>
            </w:r>
          </w:p>
        </w:tc>
        <w:tc>
          <w:tcPr>
            <w:tcW w:type="dxa" w:w="4222"/>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各被动效果配置中的元素开关，默认开启</w:t>
            </w:r>
          </w:p>
        </w:tc>
      </w:tr>
    </w:tbl>
    <w:p>
      <w:pPr>
        <w:spacing w:after="0" w:before="0" w:line="240" w:lineRule="auto"/>
      </w:pPr>
      <w:r>
        <w:rPr>
          <w:rFonts w:ascii="微软雅黑" w:hAnsi="微软雅黑" w:eastAsia="微软雅黑" w:cs="微软雅黑"/>
          <w:b w:val="0"/>
          <w:color w:val="212121"/>
          <w:sz w:val="18"/>
        </w:rPr>
        <w:t>新增一种反应只需在反应配置资产中追加条目，选择底元素、触发元素、反应类型并填写参数，不需要改动代码。前提是反应类型枚举中已有对应项，若需要全新的反应效果种类，则要在代码侧扩展。</w:t>
      </w:r>
    </w:p>
    <w:p>
      <w:bookmarkStart w:id="78" w:name="sec_7_边界与异常"/>
      <w:pPr>
        <w:pStyle w:val="Heading2"/>
        <w:spacing w:after="80" w:before="160" w:line="240" w:lineRule="auto"/>
      </w:pPr>
      <w:r>
        <w:rPr>
          <w:rFonts w:ascii="微软雅黑" w:hAnsi="微软雅黑" w:eastAsia="微软雅黑" w:cs="微软雅黑"/>
          <w:b/>
          <w:color w:val="1A237E"/>
          <w:sz w:val="22"/>
        </w:rPr>
        <w:t>7. 边界与异常</w:t>
      </w:r>
      <w:bookmarkEnd w:id="78"/>
    </w:p>
    <w:tbl>
      <w:tblPr>
        <w:tblW w:type="auto" w:w="0"/>
        <w:jc w:val="center"/>
        <w:tblLook w:firstColumn="1" w:firstRow="1" w:lastColumn="0" w:lastRow="0" w:noHBand="0" w:noVBand="1" w:val="04A0"/>
        <w:tblLayout w:type="fixed"/>
        <w:tblW w:w="7552" w:type="dxa"/>
      </w:tblPr>
      <w:tblGrid>
        <w:gridCol w:w="2966"/>
        <w:gridCol w:w="4586"/>
      </w:tblGrid>
      <w:tr>
        <w:tc>
          <w:tcPr>
            <w:tcW w:type="dxa" w:w="29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场景</w:t>
            </w:r>
          </w:p>
        </w:tc>
        <w:tc>
          <w:tcPr>
            <w:tcW w:type="dxa" w:w="45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期望行为</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非元素城邦</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不附着、不消耗、不反应，交互结算返回空元素与零量</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触发元素为空</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底元素与量原样返回</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无底元素</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直接附着触发元素</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同种元素</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累加并取上限，不触发反应</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双方量都被扣光</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清除为无元素</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反应后底方仍有剩余</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保留底元素</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反应后触发方仍有剩余</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附着变为触发元素</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双方都剩余</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数学上不可能，消耗量取较小者保证至少一方被扣光</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整数除法导致消耗为零</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底方克触发方分支有保底，触发方克底方分支没有</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击退路径上有棋子或到达棋盘边缘</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逐格推进、遇阻即停，实际位移可能小于配置格数</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击退首格即非法</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不发生位移</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击退候选出现等距二义</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在候选中随机取一</w:t>
            </w:r>
          </w:p>
        </w:tc>
      </w:tr>
      <w:tr>
        <w:tc>
          <w:tcPr>
            <w:tcW w:type="dxa" w:w="29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配置中缺少某组合</w:t>
            </w:r>
          </w:p>
        </w:tc>
        <w:tc>
          <w:tcPr>
            <w:tcW w:type="dxa" w:w="45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返回空反应，倍率为零</w:t>
            </w:r>
          </w:p>
        </w:tc>
      </w:tr>
      <w:tr>
        <w:tc>
          <w:tcPr>
            <w:tcW w:type="dxa" w:w="29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反应配置倍率为零</w:t>
            </w:r>
          </w:p>
        </w:tc>
        <w:tc>
          <w:tcPr>
            <w:tcW w:type="dxa" w:w="45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伤害计算结果为零，但保底机制仍会将其抬升到最低值</w:t>
            </w:r>
          </w:p>
        </w:tc>
      </w:tr>
    </w:tbl>
    <w:p>
      <w:pPr>
        <w:spacing w:after="0" w:before="0" w:line="240" w:lineRule="auto"/>
      </w:pPr>
      <w:r>
        <w:rPr>
          <w:rFonts w:ascii="微软雅黑" w:hAnsi="微软雅黑" w:eastAsia="微软雅黑" w:cs="微软雅黑"/>
          <w:b w:val="0"/>
          <w:color w:val="212121"/>
          <w:sz w:val="18"/>
        </w:rPr>
        <w:t>击退的行为需要说明：配置的格数是"最多尝试推进的格数"，不是保证位移的距离。每一步都会重新判断目标格是否在棋盘内、是否已被占据，任何一步不合法即停止。这意味着被击退的目标可能只挪动一格甚至不动。</w:t>
      </w:r>
    </w:p>
    <w:p>
      <w:bookmarkStart w:id="79" w:name="sec_8_美术与_UI_需求"/>
      <w:pPr>
        <w:pStyle w:val="Heading2"/>
        <w:spacing w:after="80" w:before="160" w:line="240" w:lineRule="auto"/>
      </w:pPr>
      <w:r>
        <w:rPr>
          <w:rFonts w:ascii="微软雅黑" w:hAnsi="微软雅黑" w:eastAsia="微软雅黑" w:cs="微软雅黑"/>
          <w:b/>
          <w:color w:val="1A237E"/>
          <w:sz w:val="22"/>
        </w:rPr>
        <w:t>8. 美术与 UI 需求</w:t>
      </w:r>
      <w:bookmarkEnd w:id="79"/>
    </w:p>
    <w:tbl>
      <w:tblPr>
        <w:tblW w:type="auto" w:w="0"/>
        <w:jc w:val="center"/>
        <w:tblLook w:firstColumn="1" w:firstRow="1" w:lastColumn="0" w:lastRow="0" w:noHBand="0" w:noVBand="1" w:val="04A0"/>
        <w:tblLayout w:type="fixed"/>
        <w:tblW w:w="6558" w:type="dxa"/>
      </w:tblPr>
      <w:tblGrid>
        <w:gridCol w:w="1706"/>
        <w:gridCol w:w="4226"/>
        <w:gridCol w:w="626"/>
      </w:tblGrid>
      <w:tr>
        <w:tc>
          <w:tcPr>
            <w:tcW w:type="dxa" w:w="170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需求点</w:t>
            </w:r>
          </w:p>
        </w:tc>
        <w:tc>
          <w:tcPr>
            <w:tcW w:type="dxa" w:w="42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详情</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状态</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元素伤害跳字颜色</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火为橙红、水为蓝、雷为金、冰为浅蓝</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反应跳字颜色</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通用反应色与六种反应各自的专用色</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元素附着光环</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棋子脚下显示当前附着元素色的光环，零素材方案</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反应触发提示</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触发反应时以反应名跳字提示</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元素格材质</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棋盘格按元素显示对应材质</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冻结表现</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被冻结棋子的视觉标识，需明显到一眼可辨</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待定</w:t>
            </w:r>
          </w:p>
        </w:tc>
      </w:tr>
      <w:tr>
        <w:tc>
          <w:tcPr>
            <w:tcW w:type="dxa" w:w="170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持续伤害反馈</w:t>
            </w:r>
          </w:p>
        </w:tc>
        <w:tc>
          <w:tcPr>
            <w:tcW w:type="dxa" w:w="42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每次结算跳一次字</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170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击退表现</w:t>
            </w:r>
          </w:p>
        </w:tc>
        <w:tc>
          <w:tcPr>
            <w:tcW w:type="dxa" w:w="42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位移过程与受阻停止的表现</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待定</w:t>
            </w:r>
          </w:p>
        </w:tc>
      </w:tr>
    </w:tbl>
    <w:p>
      <w:pPr>
        <w:spacing w:after="0" w:before="0" w:line="240" w:lineRule="auto"/>
      </w:pPr>
      <w:r>
        <w:rPr>
          <w:rFonts w:ascii="微软雅黑" w:hAnsi="微软雅黑" w:eastAsia="微软雅黑" w:cs="微软雅黑"/>
          <w:b w:val="0"/>
          <w:color w:val="212121"/>
          <w:sz w:val="18"/>
        </w:rPr>
        <w:t>元素跳字颜色会随城邦切换而变：非元素城邦下颜色查询走另一套口径。这保证了表现层与规则层的一致性——城邦不启用元素系统时，界面也不会用元素色去误导玩家。</w:t>
      </w:r>
    </w:p>
    <w:p>
      <w:bookmarkStart w:id="80" w:name="sec_9_迭代与验收"/>
      <w:pPr>
        <w:pStyle w:val="Heading2"/>
        <w:spacing w:after="80" w:before="160" w:line="240" w:lineRule="auto"/>
      </w:pPr>
      <w:r>
        <w:rPr>
          <w:rFonts w:ascii="微软雅黑" w:hAnsi="微软雅黑" w:eastAsia="微软雅黑" w:cs="微软雅黑"/>
          <w:b/>
          <w:color w:val="1A237E"/>
          <w:sz w:val="22"/>
        </w:rPr>
        <w:t>9. 迭代与验收</w:t>
      </w:r>
      <w:bookmarkEnd w:id="80"/>
    </w:p>
    <w:tbl>
      <w:tblPr>
        <w:tblW w:type="auto" w:w="0"/>
        <w:jc w:val="center"/>
        <w:tblLook w:firstColumn="1" w:firstRow="1" w:lastColumn="0" w:lastRow="0" w:noHBand="0" w:noVBand="1" w:val="04A0"/>
        <w:tblLayout w:type="fixed"/>
        <w:tblW w:w="4492" w:type="dxa"/>
      </w:tblPr>
      <w:tblGrid>
        <w:gridCol w:w="3866"/>
        <w:gridCol w:w="626"/>
      </w:tblGrid>
      <w:tr>
        <w:tc>
          <w:tcPr>
            <w:tcW w:type="dxa" w:w="38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功能</w:t>
            </w:r>
          </w:p>
        </w:tc>
        <w:tc>
          <w:tcPr>
            <w:tcW w:type="dxa" w:w="62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状态</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四元素与克制表</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元素交互结算（三情况分支加六步消耗）</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同种元素累加与上限</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反应数据外置</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十二种反应方向（六种反应各双向）</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反应副作用（击退、持续伤害、冻结、减防）</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城邦过滤</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修饰器链（装备被动介入）</w:t>
            </w:r>
          </w:p>
        </w:tc>
        <w:tc>
          <w:tcPr>
            <w:tcW w:type="dxa" w:w="62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r>
        <w:tc>
          <w:tcPr>
            <w:tcW w:type="dxa" w:w="38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运行时覆盖与全局修饰器</w:t>
            </w:r>
          </w:p>
        </w:tc>
        <w:tc>
          <w:tcPr>
            <w:tcW w:type="dxa" w:w="62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完成</w:t>
            </w:r>
          </w:p>
        </w:tc>
      </w:tr>
    </w:tbl>
    <w:p>
      <w:bookmarkStart w:id="81" w:name="sec_待确认"/>
      <w:pPr>
        <w:pStyle w:val="Heading3"/>
        <w:spacing w:after="60" w:before="120" w:line="240" w:lineRule="auto"/>
      </w:pPr>
      <w:r>
        <w:rPr>
          <w:rFonts w:ascii="微软雅黑" w:hAnsi="微软雅黑" w:eastAsia="微软雅黑" w:cs="微软雅黑"/>
          <w:b/>
          <w:color w:val="1A237E"/>
          <w:sz w:val="20"/>
        </w:rPr>
        <w:t>待确认</w:t>
      </w:r>
      <w:bookmarkEnd w:id="81"/>
    </w:p>
    <w:tbl>
      <w:tblPr>
        <w:tblW w:type="auto" w:w="0"/>
        <w:jc w:val="center"/>
        <w:tblLook w:firstColumn="1" w:firstRow="1" w:lastColumn="0" w:lastRow="0" w:noHBand="0" w:noVBand="1" w:val="04A0"/>
        <w:tblLayout w:type="fixed"/>
        <w:tblW w:w="7552" w:type="dxa"/>
      </w:tblPr>
      <w:tblGrid>
        <w:gridCol w:w="1886"/>
        <w:gridCol w:w="5666"/>
      </w:tblGrid>
      <w:tr>
        <w:tc>
          <w:tcPr>
            <w:tcW w:type="dxa" w:w="188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事项</w:t>
            </w:r>
          </w:p>
        </w:tc>
        <w:tc>
          <w:tcPr>
            <w:tcW w:type="dxa" w:w="5666"/>
            <w:shd w:val="clear" w:color="auto" w:fill="FFFFFF"/>
            <w:tcMar>
              <w:top w:w="0" w:type="dxa"/>
              <w:left w:w="108" w:type="dxa"/>
              <w:bottom w:w="0" w:type="dxa"/>
              <w:right w:w="108" w:type="dxa"/>
            </w:tcMar>
            <w:tcBorders>
              <w:top w:val="single" w:sz="12" w:color="000000"/>
              <w:bottom w:val="single" w:sz="4" w:color="000000"/>
              <w:left w:val="nil"/>
              <w:right w:val="nil"/>
            </w:tcBorders>
          </w:tcPr>
          <w:p>
            <w:pPr>
              <w:spacing w:after="0" w:before="0" w:line="240" w:lineRule="auto"/>
              <w:jc w:val="left"/>
            </w:pPr>
            <w:r>
              <w:rPr>
                <w:rFonts w:ascii="微软雅黑" w:hAnsi="微软雅黑" w:eastAsia="微软雅黑" w:cs="微软雅黑"/>
                <w:b w:val="0"/>
                <w:color w:val="212121"/>
                <w:sz w:val="18"/>
              </w:rPr>
              <w:t>说明</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触发方克底方无保底</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消耗量为一的时候，触发方零消耗即发起反应。是否为预期行为待定</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是否清除底元素字段</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当前无消费者，是否在后续版本启用待定</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附着上限取值</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当前固定为五，是否需要按棋子差异化待定</w:t>
            </w:r>
          </w:p>
        </w:tc>
      </w:tr>
      <w:tr>
        <w:tc>
          <w:tcPr>
            <w:tcW w:type="dxa" w:w="188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攒量连打的收益</w:t>
            </w:r>
          </w:p>
        </w:tc>
        <w:tc>
          <w:tcPr>
            <w:tcW w:type="dxa" w:w="5666"/>
            <w:shd w:val="clear" w:color="auto" w:fill="FFFFFF"/>
            <w:tcMar>
              <w:top w:w="0" w:type="dxa"/>
              <w:left w:w="108" w:type="dxa"/>
              <w:bottom w:w="0" w:type="dxa"/>
              <w:right w:w="108" w:type="dxa"/>
            </w:tcMar>
            <w:tcBorders>
              <w:top w:val="nil"/>
              <w:bottom w:val="nil"/>
              <w:left w:val="nil"/>
              <w:right w:val="nil"/>
            </w:tcBorders>
          </w:tcPr>
          <w:p>
            <w:pPr>
              <w:spacing w:after="0" w:before="0" w:line="240" w:lineRule="auto"/>
              <w:jc w:val="left"/>
            </w:pPr>
            <w:r>
              <w:rPr>
                <w:rFonts w:ascii="微软雅黑" w:hAnsi="微软雅黑" w:eastAsia="微软雅黑" w:cs="微软雅黑"/>
                <w:b w:val="0"/>
                <w:color w:val="212121"/>
                <w:sz w:val="18"/>
              </w:rPr>
              <w:t>连续攻击同一目标攒元素是否值得，需对局验证</w:t>
            </w:r>
          </w:p>
        </w:tc>
      </w:tr>
      <w:tr>
        <w:tc>
          <w:tcPr>
            <w:tcW w:type="dxa" w:w="188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冻结的表现方案</w:t>
            </w:r>
          </w:p>
        </w:tc>
        <w:tc>
          <w:tcPr>
            <w:tcW w:type="dxa" w:w="5666"/>
            <w:shd w:val="clear" w:color="auto" w:fill="FFFFFF"/>
            <w:tcMar>
              <w:top w:w="0" w:type="dxa"/>
              <w:left w:w="108" w:type="dxa"/>
              <w:bottom w:w="0" w:type="dxa"/>
              <w:right w:w="108" w:type="dxa"/>
            </w:tcMar>
            <w:tcBorders>
              <w:top w:val="nil"/>
              <w:bottom w:val="single" w:sz="12" w:color="000000"/>
              <w:left w:val="nil"/>
              <w:right w:val="nil"/>
            </w:tcBorders>
          </w:tcPr>
          <w:p>
            <w:pPr>
              <w:spacing w:after="0" w:before="0" w:line="240" w:lineRule="auto"/>
              <w:jc w:val="left"/>
            </w:pPr>
            <w:r>
              <w:rPr>
                <w:rFonts w:ascii="微软雅黑" w:hAnsi="微软雅黑" w:eastAsia="微软雅黑" w:cs="微软雅黑"/>
                <w:b w:val="0"/>
                <w:color w:val="212121"/>
                <w:sz w:val="18"/>
              </w:rPr>
              <w:t>视觉标识的具体形式待定</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微软雅黑" w:hAnsi="微软雅黑" w:eastAsia="微软雅黑" w:cs="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微软雅黑" w:hAnsi="微软雅黑" w:eastAsia="微软雅黑" w:cs="微软雅黑"/>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微软雅黑" w:hAnsi="微软雅黑" w:eastAsia="微软雅黑" w:cs="微软雅黑"/>
      <w:b/>
      <w:bCs/>
      <w:color w:val="1A237E"/>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微软雅黑" w:hAnsi="微软雅黑" w:eastAsia="微软雅黑" w:cs="微软雅黑"/>
      <w:b/>
      <w:bCs/>
      <w:color w:val="1A2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haoticChess_&#39033;&#30446;&#24635;&#31574;&#21010;&#26696;.docx"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