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82" w:name="sec_07_大招与能量"/>
      <w:pPr>
        <w:pStyle w:val="Heading1"/>
        <w:spacing w:after="160" w:before="240" w:line="240" w:lineRule="auto"/>
      </w:pPr>
      <w:r>
        <w:rPr>
          <w:rFonts w:ascii="微软雅黑" w:hAnsi="微软雅黑" w:eastAsia="微软雅黑" w:cs="微软雅黑"/>
          <w:b/>
          <w:color w:val="1A237E"/>
          <w:sz w:val="40"/>
        </w:rPr>
        <w:t>07 大招与能量</w:t>
      </w:r>
      <w:bookmarkEnd w:id="82"/>
    </w:p>
    <w:p>
      <w:pPr>
        <w:spacing w:after="0" w:before="0" w:line="240" w:lineRule="auto"/>
        <w:ind w:left="280"/>
      </w:pPr>
      <w:r>
        <w:rPr>
          <w:rFonts w:ascii="微软雅黑" w:hAnsi="微软雅黑" w:eastAsia="微软雅黑" w:cs="微软雅黑"/>
          <w:b w:val="0"/>
          <w:color w:val="555555"/>
          <w:sz w:val="18"/>
        </w:rPr>
        <w:t>Chaotic Chess 系统分册。全局背景与设计支柱见《</w:t>
      </w:r>
      <w:hyperlink r:id="rId9">
        <w:r>
          <w:rPr>
            <w:rFonts w:ascii="微软雅黑" w:hAnsi="微软雅黑" w:eastAsia="微软雅黑" w:cs="微软雅黑"/>
            <w:color w:val="1A237E"/>
            <w:u w:val="single"/>
            <w:sz w:val="18"/>
          </w:rPr>
          <w:t xml:space="preserve">ChaoticChess_项目总策划案</w:t>
        </w:r>
      </w:hyperlink>
      <w:r>
        <w:rPr>
          <w:rFonts w:ascii="微软雅黑" w:hAnsi="微软雅黑" w:eastAsia="微软雅黑" w:cs="微软雅黑"/>
          <w:b w:val="0"/>
          <w:color w:val="555555"/>
          <w:sz w:val="18"/>
        </w:rPr>
        <w:t>》。</w:t>
      </w:r>
    </w:p>
    <w:p>
      <w:bookmarkStart w:id="83" w:name="sec_1_文档信息"/>
      <w:pPr>
        <w:pStyle w:val="Heading2"/>
        <w:spacing w:after="80" w:before="160" w:line="240" w:lineRule="auto"/>
      </w:pPr>
      <w:r>
        <w:rPr>
          <w:rFonts w:ascii="微软雅黑" w:hAnsi="微软雅黑" w:eastAsia="微软雅黑" w:cs="微软雅黑"/>
          <w:b/>
          <w:color w:val="1A237E"/>
          <w:sz w:val="22"/>
        </w:rPr>
        <w:t>1. 文档信息</w:t>
      </w:r>
      <w:bookmarkEnd w:id="83"/>
    </w:p>
    <w:tbl>
      <w:tblPr>
        <w:tblW w:type="auto" w:w="0"/>
        <w:jc w:val="center"/>
        <w:tblLook w:firstColumn="1" w:firstRow="1" w:lastColumn="0" w:lastRow="0" w:noHBand="0" w:noVBand="1" w:val="04A0"/>
        <w:tblLayout w:type="fixed"/>
        <w:tblW w:w="6924" w:type="dxa"/>
      </w:tblPr>
      <w:tblGrid>
        <w:gridCol w:w="806"/>
        <w:gridCol w:w="1266"/>
        <w:gridCol w:w="4046"/>
        <w:gridCol w:w="806"/>
      </w:tblGrid>
      <w:tr>
        <w:tc>
          <w:tcPr>
            <w:tcW w:type="dxa" w:w="80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版本号</w:t>
            </w:r>
          </w:p>
        </w:tc>
        <w:tc>
          <w:tcPr>
            <w:tcW w:type="dxa" w:w="12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日期</w:t>
            </w:r>
          </w:p>
        </w:tc>
        <w:tc>
          <w:tcPr>
            <w:tcW w:type="dxa" w:w="404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修改小结</w:t>
            </w:r>
          </w:p>
        </w:tc>
        <w:tc>
          <w:tcPr>
            <w:tcW w:type="dxa" w:w="80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修改人</w:t>
            </w:r>
          </w:p>
        </w:tc>
      </w:tr>
      <w:tr>
        <w:tc>
          <w:tcPr>
            <w:tcW w:type="dxa" w:w="8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v1.0</w:t>
            </w:r>
          </w:p>
        </w:tc>
        <w:tc>
          <w:tcPr>
            <w:tcW w:type="dxa" w:w="12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2026-09-14</w:t>
            </w:r>
          </w:p>
        </w:tc>
        <w:tc>
          <w:tcPr>
            <w:tcW w:type="dxa" w:w="40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首版：基于已实现代码反向补全</w:t>
            </w:r>
          </w:p>
        </w:tc>
        <w:tc>
          <w:tcPr>
            <w:tcW w:type="dxa" w:w="8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枫</w:t>
            </w:r>
          </w:p>
        </w:tc>
      </w:tr>
      <w:tr>
        <w:tc>
          <w:tcPr>
            <w:tcW w:type="dxa" w:w="80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v2.0</w:t>
            </w:r>
          </w:p>
        </w:tc>
        <w:tc>
          <w:tcPr>
            <w:tcW w:type="dxa" w:w="12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2026-09-17</w:t>
            </w:r>
          </w:p>
        </w:tc>
        <w:tc>
          <w:tcPr>
            <w:tcW w:type="dxa" w:w="404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按系统策划案规范重写，补齐规则、数值与边界</w:t>
            </w:r>
          </w:p>
        </w:tc>
        <w:tc>
          <w:tcPr>
            <w:tcW w:type="dxa" w:w="80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枫</w:t>
            </w:r>
          </w:p>
        </w:tc>
      </w:tr>
    </w:tbl>
    <w:p>
      <w:bookmarkStart w:id="84" w:name="sec_2_概述"/>
      <w:pPr>
        <w:pStyle w:val="Heading2"/>
        <w:spacing w:after="80" w:before="160" w:line="240" w:lineRule="auto"/>
      </w:pPr>
      <w:r>
        <w:rPr>
          <w:rFonts w:ascii="微软雅黑" w:hAnsi="微软雅黑" w:eastAsia="微软雅黑" w:cs="微软雅黑"/>
          <w:b/>
          <w:color w:val="1A237E"/>
          <w:sz w:val="22"/>
        </w:rPr>
        <w:t>2. 概述</w:t>
      </w:r>
      <w:bookmarkEnd w:id="84"/>
    </w:p>
    <w:p>
      <w:bookmarkStart w:id="85" w:name="sec_2_1_设计目的"/>
      <w:pPr>
        <w:pStyle w:val="Heading3"/>
        <w:spacing w:after="60" w:before="120" w:line="240" w:lineRule="auto"/>
      </w:pPr>
      <w:r>
        <w:rPr>
          <w:rFonts w:ascii="微软雅黑" w:hAnsi="微软雅黑" w:eastAsia="微软雅黑" w:cs="微软雅黑"/>
          <w:b/>
          <w:color w:val="1A237E"/>
          <w:sz w:val="20"/>
        </w:rPr>
        <w:t>2.1 设计目的</w:t>
      </w:r>
      <w:bookmarkEnd w:id="85"/>
    </w:p>
    <w:p>
      <w:pPr>
        <w:spacing w:after="0" w:before="0" w:line="240" w:lineRule="auto"/>
      </w:pPr>
      <w:r>
        <w:rPr>
          <w:rFonts w:ascii="微软雅黑" w:hAnsi="微软雅黑" w:eastAsia="微软雅黑" w:cs="微软雅黑"/>
          <w:b w:val="0"/>
          <w:color w:val="212121"/>
          <w:sz w:val="18"/>
        </w:rPr>
        <w:t>大招是局内的情绪高点。它需要一个攒的过程，也需要一个放的决策——这两个环节共同构成它的乐趣，缺一不可。若大招来得太容易，它就退化成"伤害更高的一次普攻"；若来得太难，它在对局里就几乎不存在。</w:t>
      </w:r>
    </w:p>
    <w:p>
      <w:pPr>
        <w:spacing w:after="0" w:before="0" w:line="240" w:lineRule="auto"/>
      </w:pPr>
      <w:r>
        <w:rPr>
          <w:rFonts w:ascii="微软雅黑" w:hAnsi="微软雅黑" w:eastAsia="微软雅黑" w:cs="微软雅黑"/>
          <w:b w:val="0"/>
          <w:color w:val="212121"/>
          <w:sz w:val="18"/>
        </w:rPr>
        <w:t>它回答两个问题：我什么时候能放大招，这一发打出去值不值。</w:t>
      </w:r>
    </w:p>
    <w:p>
      <w:bookmarkStart w:id="86" w:name="sec_2_2_玩家体验目标"/>
      <w:pPr>
        <w:pStyle w:val="Heading3"/>
        <w:spacing w:after="60" w:before="120" w:line="240" w:lineRule="auto"/>
      </w:pPr>
      <w:r>
        <w:rPr>
          <w:rFonts w:ascii="微软雅黑" w:hAnsi="微软雅黑" w:eastAsia="微软雅黑" w:cs="微软雅黑"/>
          <w:b/>
          <w:color w:val="1A237E"/>
          <w:sz w:val="20"/>
        </w:rPr>
        <w:t>2.2 玩家体验目标</w:t>
      </w:r>
      <w:bookmarkEnd w:id="86"/>
    </w:p>
    <w:tbl>
      <w:tblPr>
        <w:tblW w:type="auto" w:w="0"/>
        <w:jc w:val="center"/>
        <w:tblLook w:firstColumn="1" w:firstRow="1" w:lastColumn="0" w:lastRow="0" w:noHBand="0" w:noVBand="1" w:val="04A0"/>
        <w:tblLayout w:type="fixed"/>
        <w:tblW w:w="6092" w:type="dxa"/>
      </w:tblPr>
      <w:tblGrid>
        <w:gridCol w:w="1346"/>
        <w:gridCol w:w="4746"/>
      </w:tblGrid>
      <w:tr>
        <w:tc>
          <w:tcPr>
            <w:tcW w:type="dxa" w:w="134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目标</w:t>
            </w:r>
          </w:p>
        </w:tc>
        <w:tc>
          <w:tcPr>
            <w:tcW w:type="dxa" w:w="474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具体表现</w:t>
            </w:r>
          </w:p>
        </w:tc>
      </w:tr>
      <w:tr>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积攒可感知</w:t>
            </w:r>
          </w:p>
        </w:tc>
        <w:tc>
          <w:tcPr>
            <w:tcW w:type="dxa" w:w="47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能量在界面上实时可见，玩家能预期"再打两下就能放"</w:t>
            </w:r>
          </w:p>
        </w:tc>
      </w:tr>
      <w:tr>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释放有仪式感</w:t>
            </w:r>
          </w:p>
        </w:tc>
        <w:tc>
          <w:tcPr>
            <w:tcW w:type="dxa" w:w="47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释放瞬间有独立的扩散光环，与普攻明确区分</w:t>
            </w:r>
          </w:p>
        </w:tc>
      </w:tr>
      <w:tr>
        <w:tc>
          <w:tcPr>
            <w:tcW w:type="dxa" w:w="134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决策有分量</w:t>
            </w:r>
          </w:p>
        </w:tc>
        <w:tc>
          <w:tcPr>
            <w:tcW w:type="dxa" w:w="474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释放消耗行动点，因此"现在放还是留着"本身是一个取舍</w:t>
            </w:r>
          </w:p>
        </w:tc>
      </w:tr>
    </w:tbl>
    <w:p>
      <w:bookmarkStart w:id="87" w:name="sec_2_3_系统定位"/>
      <w:pPr>
        <w:pStyle w:val="Heading3"/>
        <w:spacing w:after="60" w:before="120" w:line="240" w:lineRule="auto"/>
      </w:pPr>
      <w:r>
        <w:rPr>
          <w:rFonts w:ascii="微软雅黑" w:hAnsi="微软雅黑" w:eastAsia="微软雅黑" w:cs="微软雅黑"/>
          <w:b/>
          <w:color w:val="1A237E"/>
          <w:sz w:val="20"/>
        </w:rPr>
        <w:t>2.3 系统定位</w:t>
      </w:r>
      <w:bookmarkEnd w:id="87"/>
    </w:p>
    <w:p>
      <w:pPr>
        <w:spacing w:after="0" w:before="0" w:line="240" w:lineRule="auto"/>
      </w:pPr>
      <w:r>
        <w:rPr>
          <w:rFonts w:ascii="微软雅黑" w:hAnsi="微软雅黑" w:eastAsia="微软雅黑" w:cs="微软雅黑"/>
          <w:b w:val="0"/>
          <w:color w:val="212121"/>
          <w:sz w:val="18"/>
        </w:rPr>
        <w:t>大招位于"资源积累"与"战斗结果"的中间：移动与攻击为它供能，它把积累的能量一次性释放为伤害、增益、召唤或元素格。</w:t>
      </w:r>
    </w:p>
    <w:p>
      <w:pPr>
        <w:spacing w:after="0" w:before="0" w:line="240" w:lineRule="auto"/>
        <w:jc w:val="center"/>
      </w:pPr>
      <w:r>
        <w:drawing>
          <wp:inline xmlns:a="http://schemas.openxmlformats.org/drawingml/2006/main" xmlns:pic="http://schemas.openxmlformats.org/drawingml/2006/picture">
            <wp:extent cx="5270500" cy="2928056"/>
            <wp:docPr id="1" name="Picture 1"/>
            <wp:cNvGraphicFramePr>
              <a:graphicFrameLocks noChangeAspect="1"/>
            </wp:cNvGraphicFramePr>
            <a:graphic>
              <a:graphicData uri="http://schemas.openxmlformats.org/drawingml/2006/picture">
                <pic:pic>
                  <pic:nvPicPr>
                    <pic:cNvPr id="0" name="07_系统定位.png"/>
                    <pic:cNvPicPr/>
                  </pic:nvPicPr>
                  <pic:blipFill>
                    <a:blip r:embed="rId10"/>
                    <a:stretch>
                      <a:fillRect/>
                    </a:stretch>
                  </pic:blipFill>
                  <pic:spPr>
                    <a:xfrm>
                      <a:off x="0" y="0"/>
                      <a:ext cx="5270500" cy="2928056"/>
                    </a:xfrm>
                    <a:prstGeom prst="rect"/>
                  </pic:spPr>
                </pic:pic>
              </a:graphicData>
            </a:graphic>
          </wp:inline>
        </w:drawing>
      </w:r>
    </w:p>
    <w:p>
      <w:pPr>
        <w:spacing w:after="0" w:before="0" w:line="240" w:lineRule="auto"/>
      </w:pPr>
      <w:r>
        <w:rPr>
          <w:rFonts w:ascii="微软雅黑" w:hAnsi="微软雅黑" w:eastAsia="微软雅黑" w:cs="微软雅黑"/>
          <w:b w:val="0"/>
          <w:color w:val="212121"/>
          <w:sz w:val="18"/>
        </w:rPr>
        <w:t>它的上游是回合与资源系统——没有行动点的约束，释放时机的取舍就不存在。它的下游是伤害计算、元素反应与元素格，大招只是换了一种触发方式，结算规则与普攻共用同一套。</w:t>
      </w:r>
    </w:p>
    <w:p>
      <w:bookmarkStart w:id="88" w:name="sec_2_4_名词解释"/>
      <w:pPr>
        <w:pStyle w:val="Heading3"/>
        <w:spacing w:after="60" w:before="120" w:line="240" w:lineRule="auto"/>
      </w:pPr>
      <w:r>
        <w:rPr>
          <w:rFonts w:ascii="微软雅黑" w:hAnsi="微软雅黑" w:eastAsia="微软雅黑" w:cs="微软雅黑"/>
          <w:b/>
          <w:color w:val="1A237E"/>
          <w:sz w:val="20"/>
        </w:rPr>
        <w:t>2.4 名词解释</w:t>
      </w:r>
      <w:bookmarkEnd w:id="88"/>
    </w:p>
    <w:tbl>
      <w:tblPr>
        <w:tblW w:type="auto" w:w="0"/>
        <w:jc w:val="center"/>
        <w:tblLook w:firstColumn="1" w:firstRow="1" w:lastColumn="0" w:lastRow="0" w:noHBand="0" w:noVBand="1" w:val="04A0"/>
        <w:tblLayout w:type="fixed"/>
        <w:tblW w:w="6112" w:type="dxa"/>
      </w:tblPr>
      <w:tblGrid>
        <w:gridCol w:w="986"/>
        <w:gridCol w:w="5126"/>
      </w:tblGrid>
      <w:tr>
        <w:tc>
          <w:tcPr>
            <w:tcW w:type="dxa" w:w="9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术语</w:t>
            </w:r>
          </w:p>
        </w:tc>
        <w:tc>
          <w:tcPr>
            <w:tcW w:type="dxa" w:w="51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含义</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能量</w:t>
            </w:r>
          </w:p>
        </w:tc>
        <w:tc>
          <w:tcPr>
            <w:tcW w:type="dxa" w:w="51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释放大招所需的资源，逐棋子配置上限，移动与攻击为其供能</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满能</w:t>
            </w:r>
          </w:p>
        </w:tc>
        <w:tc>
          <w:tcPr>
            <w:tcW w:type="dxa" w:w="51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当前能量达到或超过上限的状态，是释放的前置条件</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蓄力层数</w:t>
            </w:r>
          </w:p>
        </w:tc>
        <w:tc>
          <w:tcPr>
            <w:tcW w:type="dxa" w:w="51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甘雨专属资源，以层数替代能量驱动大招</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目标模式</w:t>
            </w:r>
          </w:p>
        </w:tc>
        <w:tc>
          <w:tcPr>
            <w:tcW w:type="dxa" w:w="51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大招的选取方式，分为敌方棋子、自身、指定格子三类</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格子形状</w:t>
            </w:r>
          </w:p>
        </w:tc>
        <w:tc>
          <w:tcPr>
            <w:tcW w:type="dxa" w:w="51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目标模式为指定格子时的高亮形状，分圆形与射线两种</w:t>
            </w:r>
          </w:p>
        </w:tc>
      </w:tr>
      <w:tr>
        <w:tc>
          <w:tcPr>
            <w:tcW w:type="dxa" w:w="9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元素格</w:t>
            </w:r>
          </w:p>
        </w:tc>
        <w:tc>
          <w:tcPr>
            <w:tcW w:type="dxa" w:w="51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大招释放后由作用范围内的普通格转化而成的元素附着格</w:t>
            </w:r>
          </w:p>
        </w:tc>
      </w:tr>
    </w:tbl>
    <w:p>
      <w:bookmarkStart w:id="89" w:name="sec_3_规则与逻辑"/>
      <w:pPr>
        <w:pStyle w:val="Heading2"/>
        <w:spacing w:after="80" w:before="160" w:line="240" w:lineRule="auto"/>
      </w:pPr>
      <w:r>
        <w:rPr>
          <w:rFonts w:ascii="微软雅黑" w:hAnsi="微软雅黑" w:eastAsia="微软雅黑" w:cs="微软雅黑"/>
          <w:b/>
          <w:color w:val="1A237E"/>
          <w:sz w:val="22"/>
        </w:rPr>
        <w:t>3. 规则与逻辑</w:t>
      </w:r>
      <w:bookmarkEnd w:id="89"/>
    </w:p>
    <w:p>
      <w:bookmarkStart w:id="90" w:name="sec_3_1_两套资源模型"/>
      <w:pPr>
        <w:pStyle w:val="Heading3"/>
        <w:spacing w:after="60" w:before="120" w:line="240" w:lineRule="auto"/>
      </w:pPr>
      <w:r>
        <w:rPr>
          <w:rFonts w:ascii="微软雅黑" w:hAnsi="微软雅黑" w:eastAsia="微软雅黑" w:cs="微软雅黑"/>
          <w:b/>
          <w:color w:val="1A237E"/>
          <w:sz w:val="20"/>
        </w:rPr>
        <w:t>3.1 两套资源模型</w:t>
      </w:r>
      <w:bookmarkEnd w:id="90"/>
    </w:p>
    <w:p>
      <w:pPr>
        <w:spacing w:after="0" w:before="0" w:line="240" w:lineRule="auto"/>
      </w:pPr>
      <w:r>
        <w:rPr>
          <w:rFonts w:ascii="微软雅黑" w:hAnsi="微软雅黑" w:eastAsia="微软雅黑" w:cs="微软雅黑"/>
          <w:b w:val="0"/>
          <w:color w:val="212121"/>
          <w:sz w:val="18"/>
        </w:rPr>
        <w:t>多数棋子使用能量，甘雨使用蓄力层数。这不是两套系统，而是同一套释放框架下的两种资源模型。</w:t>
      </w:r>
    </w:p>
    <w:tbl>
      <w:tblPr>
        <w:tblW w:type="auto" w:w="0"/>
        <w:jc w:val="center"/>
        <w:tblLook w:firstColumn="1" w:firstRow="1" w:lastColumn="0" w:lastRow="0" w:noHBand="0" w:noVBand="1" w:val="04A0"/>
        <w:tblLayout w:type="fixed"/>
        <w:tblW w:w="5658" w:type="dxa"/>
      </w:tblPr>
      <w:tblGrid>
        <w:gridCol w:w="626"/>
        <w:gridCol w:w="3146"/>
        <w:gridCol w:w="1886"/>
      </w:tblGrid>
      <w:tr>
        <w:tc>
          <w:tcPr>
            <w:tcW w:type="dxa" w:w="6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模型</w:t>
            </w:r>
          </w:p>
        </w:tc>
        <w:tc>
          <w:tcPr>
            <w:tcW w:type="dxa" w:w="314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驱动方式</w:t>
            </w:r>
          </w:p>
        </w:tc>
        <w:tc>
          <w:tcPr>
            <w:tcW w:type="dxa" w:w="18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使用者</w:t>
            </w:r>
          </w:p>
        </w:tc>
      </w:tr>
      <w:tr>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能量</w:t>
            </w:r>
          </w:p>
        </w:tc>
        <w:tc>
          <w:tcPr>
            <w:tcW w:type="dxa" w:w="31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移动与攻击累积，满能后可释放</w:t>
            </w:r>
          </w:p>
        </w:tc>
        <w:tc>
          <w:tcPr>
            <w:tcW w:type="dxa" w:w="18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除甘雨外的全部棋子</w:t>
            </w:r>
          </w:p>
        </w:tc>
      </w:tr>
      <w:tr>
        <w:tc>
          <w:tcPr>
            <w:tcW w:type="dxa" w:w="6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蓄力</w:t>
            </w:r>
          </w:p>
        </w:tc>
        <w:tc>
          <w:tcPr>
            <w:tcW w:type="dxa" w:w="314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普攻累积层数，层数达到一即可释放</w:t>
            </w:r>
          </w:p>
        </w:tc>
        <w:tc>
          <w:tcPr>
            <w:tcW w:type="dxa" w:w="18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甘雨</w:t>
            </w:r>
          </w:p>
        </w:tc>
      </w:tr>
    </w:tbl>
    <w:p>
      <w:pPr>
        <w:spacing w:after="0" w:before="0" w:line="240" w:lineRule="auto"/>
      </w:pPr>
      <w:r>
        <w:rPr>
          <w:rFonts w:ascii="微软雅黑" w:hAnsi="微软雅黑" w:eastAsia="微软雅黑" w:cs="微软雅黑"/>
          <w:b w:val="0"/>
          <w:color w:val="212121"/>
          <w:sz w:val="18"/>
        </w:rPr>
        <w:t>甘雨选择蓄力模型而非能量的理由在于资源语义：能量是"做什么都会涨"的通用资源，蓄力是"必须选择这个动作"的专用资源。狙击手的耐心因此被写进了资源模型，而不只是落在数值上——她不能靠走位攒资源，只能靠持续进攻。</w:t>
      </w:r>
    </w:p>
    <w:p>
      <w:pPr>
        <w:spacing w:after="0" w:before="0" w:line="240" w:lineRule="auto"/>
      </w:pPr>
      <w:r>
        <w:rPr>
          <w:rFonts w:ascii="微软雅黑" w:hAnsi="微软雅黑" w:eastAsia="微软雅黑" w:cs="微软雅黑"/>
          <w:b w:val="0"/>
          <w:color w:val="212121"/>
          <w:sz w:val="18"/>
        </w:rPr>
        <w:t>两套模型的差异体现在三处：能量有上限且逐棋子配置，蓄力层数同样有上限；能量在移动与攻击时增长，蓄力只在普攻时增长；释放后能量按消耗规则扣减，蓄力层数直接清零。</w:t>
      </w:r>
    </w:p>
    <w:p>
      <w:bookmarkStart w:id="91" w:name="sec_3_2_能量获取"/>
      <w:pPr>
        <w:pStyle w:val="Heading3"/>
        <w:spacing w:after="60" w:before="120" w:line="240" w:lineRule="auto"/>
      </w:pPr>
      <w:r>
        <w:rPr>
          <w:rFonts w:ascii="微软雅黑" w:hAnsi="微软雅黑" w:eastAsia="微软雅黑" w:cs="微软雅黑"/>
          <w:b/>
          <w:color w:val="1A237E"/>
          <w:sz w:val="20"/>
        </w:rPr>
        <w:t>3.2 能量获取</w:t>
      </w:r>
      <w:bookmarkEnd w:id="91"/>
    </w:p>
    <w:p>
      <w:pPr>
        <w:spacing w:after="0" w:before="0" w:line="240" w:lineRule="auto"/>
      </w:pPr>
      <w:r>
        <w:rPr>
          <w:rFonts w:ascii="微软雅黑" w:hAnsi="微软雅黑" w:eastAsia="微软雅黑" w:cs="微软雅黑"/>
          <w:b w:val="0"/>
          <w:color w:val="212121"/>
          <w:sz w:val="18"/>
        </w:rPr>
        <w:t>能量有三个来源：</w:t>
      </w:r>
    </w:p>
    <w:tbl>
      <w:tblPr>
        <w:tblW w:type="auto" w:w="0"/>
        <w:jc w:val="center"/>
        <w:tblLook w:firstColumn="1" w:firstRow="1" w:lastColumn="0" w:lastRow="0" w:noHBand="0" w:noVBand="1" w:val="04A0"/>
        <w:tblLayout w:type="fixed"/>
        <w:tblW w:w="6378" w:type="dxa"/>
      </w:tblPr>
      <w:tblGrid>
        <w:gridCol w:w="1166"/>
        <w:gridCol w:w="1706"/>
        <w:gridCol w:w="3506"/>
      </w:tblGrid>
      <w:tr>
        <w:tc>
          <w:tcPr>
            <w:tcW w:type="dxa" w:w="11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来源</w:t>
            </w:r>
          </w:p>
        </w:tc>
        <w:tc>
          <w:tcPr>
            <w:tcW w:type="dxa" w:w="170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增量</w:t>
            </w:r>
          </w:p>
        </w:tc>
        <w:tc>
          <w:tcPr>
            <w:tcW w:type="dxa" w:w="350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说明</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移动</w:t>
            </w:r>
          </w:p>
        </w:tc>
        <w:tc>
          <w:tcPr>
            <w:tcW w:type="dxa" w:w="17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单次移动固定增量</w:t>
            </w:r>
          </w:p>
        </w:tc>
        <w:tc>
          <w:tcPr>
            <w:tcW w:type="dxa" w:w="35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整次移动只结算一次，不按移动格数累计</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攻击</w:t>
            </w:r>
          </w:p>
        </w:tc>
        <w:tc>
          <w:tcPr>
            <w:tcW w:type="dxa" w:w="17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单次攻击固定增量</w:t>
            </w:r>
          </w:p>
        </w:tc>
        <w:tc>
          <w:tcPr>
            <w:tcW w:type="dxa" w:w="35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在攻击结算流程尾部结算</w:t>
            </w:r>
          </w:p>
        </w:tc>
      </w:tr>
      <w:tr>
        <w:tc>
          <w:tcPr>
            <w:tcW w:type="dxa" w:w="11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每回合回复</w:t>
            </w:r>
          </w:p>
        </w:tc>
        <w:tc>
          <w:tcPr>
            <w:tcW w:type="dxa" w:w="170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逐棋子配置</w:t>
            </w:r>
          </w:p>
        </w:tc>
        <w:tc>
          <w:tcPr>
            <w:tcW w:type="dxa" w:w="350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与装备的每回合回能叠加</w:t>
            </w:r>
          </w:p>
        </w:tc>
      </w:tr>
    </w:tbl>
    <w:p>
      <w:pPr>
        <w:spacing w:after="0" w:before="0" w:line="240" w:lineRule="auto"/>
      </w:pPr>
      <w:r>
        <w:rPr>
          <w:rFonts w:ascii="微软雅黑" w:hAnsi="微软雅黑" w:eastAsia="微软雅黑" w:cs="微软雅黑"/>
          <w:b w:val="0"/>
          <w:color w:val="212121"/>
          <w:sz w:val="18"/>
        </w:rPr>
        <w:t>移动与攻击的增量是逐棋子配置的，多数棋子采用统一下限值。需要注意的是移动的计量口径：一次移动无论走了几格，只获得一次增量。这让"走两步再打一下"与"走四步再打一下"在能量收益上完全一致，玩家的决策因此集中在位置而非距离。</w:t>
      </w:r>
    </w:p>
    <w:p>
      <w:pPr>
        <w:spacing w:after="0" w:before="0" w:line="240" w:lineRule="auto"/>
      </w:pPr>
      <w:r>
        <w:rPr>
          <w:rFonts w:ascii="微软雅黑" w:hAnsi="微软雅黑" w:eastAsia="微软雅黑" w:cs="微软雅黑"/>
          <w:b w:val="0"/>
          <w:color w:val="212121"/>
          <w:sz w:val="18"/>
        </w:rPr>
        <w:t>每回合回复在双方每次回合结束时对双方所有棋子各结算一次，与装备提供的回能叠加。当前全部棋子的基础回复值均为零，实际回能全部来自装备与被动。</w:t>
      </w:r>
    </w:p>
    <w:p>
      <w:pPr>
        <w:spacing w:after="0" w:before="0" w:line="240" w:lineRule="auto"/>
      </w:pPr>
      <w:r>
        <w:rPr>
          <w:rFonts w:ascii="微软雅黑" w:hAnsi="微软雅黑" w:eastAsia="微软雅黑" w:cs="微软雅黑"/>
          <w:b w:val="0"/>
          <w:color w:val="212121"/>
          <w:sz w:val="18"/>
        </w:rPr>
        <w:t>免行动点的移动与攻击不产生能量。这一约束避免"零成本刷能量"的循环。</w:t>
      </w:r>
    </w:p>
    <w:p>
      <w:bookmarkStart w:id="92" w:name="sec_3_3_释放条件与流程"/>
      <w:pPr>
        <w:pStyle w:val="Heading3"/>
        <w:spacing w:after="60" w:before="120" w:line="240" w:lineRule="auto"/>
      </w:pPr>
      <w:r>
        <w:rPr>
          <w:rFonts w:ascii="微软雅黑" w:hAnsi="微软雅黑" w:eastAsia="微软雅黑" w:cs="微软雅黑"/>
          <w:b/>
          <w:color w:val="1A237E"/>
          <w:sz w:val="20"/>
        </w:rPr>
        <w:t>3.3 释放条件与流程</w:t>
      </w:r>
      <w:bookmarkEnd w:id="92"/>
    </w:p>
    <w:p>
      <w:pPr>
        <w:spacing w:after="0" w:before="0" w:line="240" w:lineRule="auto"/>
      </w:pPr>
      <w:r>
        <w:rPr>
          <w:rFonts w:ascii="微软雅黑" w:hAnsi="微软雅黑" w:eastAsia="微软雅黑" w:cs="微软雅黑"/>
          <w:b w:val="0"/>
          <w:color w:val="212121"/>
          <w:sz w:val="18"/>
        </w:rPr>
        <w:t>释放大招需要同时满足两个条件：资源满足（能量满，或蓄力层数至少一层）与行动点足够（消耗一点）。两者缺一即拒绝，界面应同步禁用释放入口。</w:t>
      </w:r>
    </w:p>
    <w:p>
      <w:pPr>
        <w:spacing w:after="0" w:before="0" w:line="240" w:lineRule="auto"/>
      </w:pPr>
      <w:r>
        <w:rPr>
          <w:rFonts w:ascii="微软雅黑" w:hAnsi="微软雅黑" w:eastAsia="微软雅黑" w:cs="微软雅黑"/>
          <w:b w:val="0"/>
          <w:color w:val="212121"/>
          <w:sz w:val="18"/>
        </w:rPr>
        <w:t>释放流程的顺序是固定的，其中有一处顺序值得单独说明：</w:t>
      </w:r>
    </w:p>
    <w:p>
      <w:pPr>
        <w:spacing w:after="0" w:before="0" w:line="240" w:lineRule="auto"/>
        <w:jc w:val="center"/>
      </w:pPr>
      <w:r>
        <w:drawing>
          <wp:inline xmlns:a="http://schemas.openxmlformats.org/drawingml/2006/main" xmlns:pic="http://schemas.openxmlformats.org/drawingml/2006/picture">
            <wp:extent cx="5270500" cy="3764643"/>
            <wp:docPr id="2" name="Picture 2"/>
            <wp:cNvGraphicFramePr>
              <a:graphicFrameLocks noChangeAspect="1"/>
            </wp:cNvGraphicFramePr>
            <a:graphic>
              <a:graphicData uri="http://schemas.openxmlformats.org/drawingml/2006/picture">
                <pic:pic>
                  <pic:nvPicPr>
                    <pic:cNvPr id="0" name="07_释放流程.png"/>
                    <pic:cNvPicPr/>
                  </pic:nvPicPr>
                  <pic:blipFill>
                    <a:blip r:embed="rId11"/>
                    <a:stretch>
                      <a:fillRect/>
                    </a:stretch>
                  </pic:blipFill>
                  <pic:spPr>
                    <a:xfrm>
                      <a:off x="0" y="0"/>
                      <a:ext cx="5270500" cy="3764643"/>
                    </a:xfrm>
                    <a:prstGeom prst="rect"/>
                  </pic:spPr>
                </pic:pic>
              </a:graphicData>
            </a:graphic>
          </wp:inline>
        </w:drawing>
      </w:r>
    </w:p>
    <w:p>
      <w:pPr>
        <w:spacing w:after="0" w:before="0" w:line="240" w:lineRule="auto"/>
        <w:ind w:left="280"/>
      </w:pPr>
      <w:r>
        <w:rPr>
          <w:rFonts w:ascii="微软雅黑" w:hAnsi="微软雅黑" w:eastAsia="微软雅黑" w:cs="微软雅黑"/>
          <w:b w:val="0"/>
          <w:color w:val="212121"/>
          <w:sz w:val="18"/>
        </w:rPr>
        <w:t>1. 校验行动点是否足够</w:t>
      </w:r>
    </w:p>
    <w:p>
      <w:pPr>
        <w:spacing w:after="0" w:before="0" w:line="240" w:lineRule="auto"/>
        <w:ind w:left="280"/>
      </w:pPr>
      <w:r>
        <w:rPr>
          <w:rFonts w:ascii="微软雅黑" w:hAnsi="微软雅黑" w:eastAsia="微软雅黑" w:cs="微软雅黑"/>
          <w:b w:val="0"/>
          <w:color w:val="212121"/>
          <w:sz w:val="18"/>
        </w:rPr>
        <w:t>2. 按类名创建大招效果</w:t>
      </w:r>
    </w:p>
    <w:p>
      <w:pPr>
        <w:spacing w:after="0" w:before="0" w:line="240" w:lineRule="auto"/>
        <w:ind w:left="280"/>
      </w:pPr>
      <w:r>
        <w:rPr>
          <w:rFonts w:ascii="微软雅黑" w:hAnsi="微软雅黑" w:eastAsia="微软雅黑" w:cs="微软雅黑"/>
          <w:b w:val="0"/>
          <w:color w:val="212121"/>
          <w:sz w:val="18"/>
        </w:rPr>
        <w:t>3. 校验并消耗资源</w:t>
      </w:r>
    </w:p>
    <w:p>
      <w:pPr>
        <w:spacing w:after="0" w:before="0" w:line="240" w:lineRule="auto"/>
        <w:ind w:left="280"/>
      </w:pPr>
      <w:r>
        <w:rPr>
          <w:rFonts w:ascii="微软雅黑" w:hAnsi="微软雅黑" w:eastAsia="微软雅黑" w:cs="微软雅黑"/>
          <w:b w:val="0"/>
          <w:color w:val="212121"/>
          <w:sz w:val="18"/>
        </w:rPr>
        <w:t>4. 扣减行动点</w:t>
      </w:r>
    </w:p>
    <w:p>
      <w:pPr>
        <w:spacing w:after="0" w:before="0" w:line="240" w:lineRule="auto"/>
        <w:ind w:left="280"/>
      </w:pPr>
      <w:r>
        <w:rPr>
          <w:rFonts w:ascii="微软雅黑" w:hAnsi="微软雅黑" w:eastAsia="微软雅黑" w:cs="微软雅黑"/>
          <w:b w:val="0"/>
          <w:color w:val="212121"/>
          <w:sz w:val="18"/>
        </w:rPr>
        <w:t>5. 在结算前声明元素格作用范围</w:t>
      </w:r>
    </w:p>
    <w:p>
      <w:pPr>
        <w:spacing w:after="0" w:before="0" w:line="240" w:lineRule="auto"/>
        <w:ind w:left="280"/>
      </w:pPr>
      <w:r>
        <w:rPr>
          <w:rFonts w:ascii="微软雅黑" w:hAnsi="微软雅黑" w:eastAsia="微软雅黑" w:cs="微软雅黑"/>
          <w:b w:val="0"/>
          <w:color w:val="212121"/>
          <w:sz w:val="18"/>
        </w:rPr>
        <w:t>6. 执行大招效果</w:t>
      </w:r>
    </w:p>
    <w:p>
      <w:pPr>
        <w:spacing w:after="0" w:before="0" w:line="240" w:lineRule="auto"/>
        <w:ind w:left="280"/>
      </w:pPr>
      <w:r>
        <w:rPr>
          <w:rFonts w:ascii="微软雅黑" w:hAnsi="微软雅黑" w:eastAsia="微软雅黑" w:cs="微软雅黑"/>
          <w:b w:val="0"/>
          <w:color w:val="212121"/>
          <w:sz w:val="18"/>
        </w:rPr>
        <w:t>7. 播放释放表现</w:t>
      </w:r>
    </w:p>
    <w:p>
      <w:pPr>
        <w:spacing w:after="0" w:before="0" w:line="240" w:lineRule="auto"/>
        <w:ind w:left="280"/>
      </w:pPr>
      <w:r>
        <w:rPr>
          <w:rFonts w:ascii="微软雅黑" w:hAnsi="微软雅黑" w:eastAsia="微软雅黑" w:cs="微软雅黑"/>
          <w:b w:val="0"/>
          <w:color w:val="212121"/>
          <w:sz w:val="18"/>
        </w:rPr>
        <w:t>8. 应用元素格替换</w:t>
      </w:r>
    </w:p>
    <w:p>
      <w:pPr>
        <w:spacing w:after="0" w:before="0" w:line="240" w:lineRule="auto"/>
        <w:ind w:left="280"/>
      </w:pPr>
      <w:r>
        <w:rPr>
          <w:rFonts w:ascii="微软雅黑" w:hAnsi="微软雅黑" w:eastAsia="微软雅黑" w:cs="微软雅黑"/>
          <w:b w:val="0"/>
          <w:color w:val="212121"/>
          <w:sz w:val="18"/>
        </w:rPr>
        <w:t>9. 通知队友、处理目标死亡</w:t>
      </w:r>
    </w:p>
    <w:p>
      <w:pPr>
        <w:spacing w:after="0" w:before="0" w:line="240" w:lineRule="auto"/>
      </w:pPr>
      <w:r>
        <w:rPr>
          <w:rFonts w:ascii="微软雅黑" w:hAnsi="微软雅黑" w:eastAsia="微软雅黑" w:cs="微软雅黑"/>
          <w:b w:val="0"/>
          <w:color w:val="212121"/>
          <w:sz w:val="18"/>
        </w:rPr>
        <w:t>行动点的校验特意排在消耗资源之前。若顺序相反，行动点不足时玩家会先被扣掉满格能量却什么也放不出来。创建效果也排在消耗之前，这样类名配置错误时既不会扣能量也不会扣行动点。</w:t>
      </w:r>
    </w:p>
    <w:p>
      <w:bookmarkStart w:id="93" w:name="sec_3_4_三类目标模式"/>
      <w:pPr>
        <w:pStyle w:val="Heading3"/>
        <w:spacing w:after="60" w:before="120" w:line="240" w:lineRule="auto"/>
      </w:pPr>
      <w:r>
        <w:rPr>
          <w:rFonts w:ascii="微软雅黑" w:hAnsi="微软雅黑" w:eastAsia="微软雅黑" w:cs="微软雅黑"/>
          <w:b/>
          <w:color w:val="1A237E"/>
          <w:sz w:val="20"/>
        </w:rPr>
        <w:t>3.4 三类目标模式</w:t>
      </w:r>
      <w:bookmarkEnd w:id="93"/>
    </w:p>
    <w:tbl>
      <w:tblPr>
        <w:tblW w:type="auto" w:w="0"/>
        <w:jc w:val="center"/>
        <w:tblLook w:firstColumn="1" w:firstRow="1" w:lastColumn="0" w:lastRow="0" w:noHBand="0" w:noVBand="1" w:val="04A0"/>
        <w:tblLayout w:type="fixed"/>
        <w:tblW w:w="7278" w:type="dxa"/>
      </w:tblPr>
      <w:tblGrid>
        <w:gridCol w:w="986"/>
        <w:gridCol w:w="3146"/>
        <w:gridCol w:w="3146"/>
      </w:tblGrid>
      <w:tr>
        <w:tc>
          <w:tcPr>
            <w:tcW w:type="dxa" w:w="9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模式</w:t>
            </w:r>
          </w:p>
        </w:tc>
        <w:tc>
          <w:tcPr>
            <w:tcW w:type="dxa" w:w="314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语义</w:t>
            </w:r>
          </w:p>
        </w:tc>
        <w:tc>
          <w:tcPr>
            <w:tcW w:type="dxa" w:w="314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效果入口</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敌方棋子</w:t>
            </w:r>
          </w:p>
        </w:tc>
        <w:tc>
          <w:tcPr>
            <w:tcW w:type="dxa" w:w="31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需要指定一个敌方棋子，是默认模式</w:t>
            </w:r>
          </w:p>
        </w:tc>
        <w:tc>
          <w:tcPr>
            <w:tcW w:type="dxa" w:w="31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两参数执行</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自身</w:t>
            </w:r>
          </w:p>
        </w:tc>
        <w:tc>
          <w:tcPr>
            <w:tcW w:type="dxa" w:w="31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以自身为目标，用于自身增益类大招</w:t>
            </w:r>
          </w:p>
        </w:tc>
        <w:tc>
          <w:tcPr>
            <w:tcW w:type="dxa" w:w="31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两参数执行，施法与目标为同一棋子</w:t>
            </w:r>
          </w:p>
        </w:tc>
      </w:tr>
      <w:tr>
        <w:tc>
          <w:tcPr>
            <w:tcW w:type="dxa" w:w="9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指定格子</w:t>
            </w:r>
          </w:p>
        </w:tc>
        <w:tc>
          <w:tcPr>
            <w:tcW w:type="dxa" w:w="314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指定一个格子，允许点选空格</w:t>
            </w:r>
          </w:p>
        </w:tc>
        <w:tc>
          <w:tcPr>
            <w:tcW w:type="dxa" w:w="314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三参数执行，额外携带格子坐标</w:t>
            </w:r>
          </w:p>
        </w:tc>
      </w:tr>
    </w:tbl>
    <w:p>
      <w:pPr>
        <w:spacing w:after="0" w:before="0" w:line="240" w:lineRule="auto"/>
      </w:pPr>
      <w:r>
        <w:rPr>
          <w:rFonts w:ascii="微软雅黑" w:hAnsi="微软雅黑" w:eastAsia="微软雅黑" w:cs="微软雅黑"/>
          <w:b w:val="0"/>
          <w:color w:val="212121"/>
          <w:sz w:val="18"/>
        </w:rPr>
        <w:t>是否需目标这一旧字段仍然有效，它在"非指定格且非显式自身"时作为回落到自身模式的判据。判定优先级为：指定格子最高，其次显式自身，最后是旧字段。</w:t>
      </w:r>
    </w:p>
    <w:p>
      <w:pPr>
        <w:spacing w:after="0" w:before="0" w:line="240" w:lineRule="auto"/>
      </w:pPr>
      <w:r>
        <w:rPr>
          <w:rFonts w:ascii="微软雅黑" w:hAnsi="微软雅黑" w:eastAsia="微软雅黑" w:cs="微软雅黑"/>
          <w:b w:val="0"/>
          <w:color w:val="212121"/>
          <w:sz w:val="18"/>
        </w:rPr>
        <w:t>指定格子模式下有两种高亮形状：</w:t>
      </w:r>
    </w:p>
    <w:tbl>
      <w:tblPr>
        <w:tblW w:type="auto" w:w="0"/>
        <w:jc w:val="center"/>
        <w:tblLook w:firstColumn="1" w:firstRow="1" w:lastColumn="0" w:lastRow="0" w:noHBand="0" w:noVBand="1" w:val="04A0"/>
        <w:tblLayout w:type="fixed"/>
        <w:tblW w:w="5392" w:type="dxa"/>
      </w:tblPr>
      <w:tblGrid>
        <w:gridCol w:w="626"/>
        <w:gridCol w:w="4766"/>
      </w:tblGrid>
      <w:tr>
        <w:tc>
          <w:tcPr>
            <w:tcW w:type="dxa" w:w="6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形状</w:t>
            </w:r>
          </w:p>
        </w:tc>
        <w:tc>
          <w:tcPr>
            <w:tcW w:type="dxa" w:w="47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语义</w:t>
            </w:r>
          </w:p>
        </w:tc>
      </w:tr>
      <w:tr>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圆形</w:t>
            </w:r>
          </w:p>
        </w:tc>
        <w:tc>
          <w:tcPr>
            <w:tcW w:type="dxa" w:w="47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以自身为圆心的圆形范围，是默认形状</w:t>
            </w:r>
          </w:p>
        </w:tc>
      </w:tr>
      <w:tr>
        <w:tc>
          <w:tcPr>
            <w:tcW w:type="dxa" w:w="6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射线</w:t>
            </w:r>
          </w:p>
        </w:tc>
        <w:tc>
          <w:tcPr>
            <w:tcW w:type="dxa" w:w="47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六个方向射线上的可点格子，用于直线冲刺与落点类大招</w:t>
            </w:r>
          </w:p>
        </w:tc>
      </w:tr>
    </w:tbl>
    <w:p>
      <w:pPr>
        <w:spacing w:after="0" w:before="0" w:line="240" w:lineRule="auto"/>
      </w:pPr>
      <w:r>
        <w:rPr>
          <w:rFonts w:ascii="微软雅黑" w:hAnsi="微软雅黑" w:eastAsia="微软雅黑" w:cs="微软雅黑"/>
          <w:b w:val="0"/>
          <w:color w:val="212121"/>
          <w:sz w:val="18"/>
        </w:rPr>
        <w:t>射线形状下，被占据的格子不可选，点击被占据的格子会自然取消。射线的长度由格子目标距离决定，该值必须大于零，否则没有任何可选格，大招无法释放。</w:t>
      </w:r>
    </w:p>
    <w:p>
      <w:pPr>
        <w:spacing w:after="0" w:before="0" w:line="240" w:lineRule="auto"/>
      </w:pPr>
      <w:r>
        <w:rPr>
          <w:rFonts w:ascii="微软雅黑" w:hAnsi="微软雅黑" w:eastAsia="微软雅黑" w:cs="微软雅黑"/>
          <w:b w:val="0"/>
          <w:color w:val="212121"/>
          <w:sz w:val="18"/>
        </w:rPr>
        <w:t>当前全部棋子的大招都使用圆形形状，射线形状已实现但尚无使用者。</w:t>
      </w:r>
    </w:p>
    <w:p>
      <w:bookmarkStart w:id="94" w:name="sec_3_5_部分能量消耗"/>
      <w:pPr>
        <w:pStyle w:val="Heading3"/>
        <w:spacing w:after="60" w:before="120" w:line="240" w:lineRule="auto"/>
      </w:pPr>
      <w:r>
        <w:rPr>
          <w:rFonts w:ascii="微软雅黑" w:hAnsi="微软雅黑" w:eastAsia="微软雅黑" w:cs="微软雅黑"/>
          <w:b/>
          <w:color w:val="1A237E"/>
          <w:sz w:val="20"/>
        </w:rPr>
        <w:t>3.5 部分能量消耗</w:t>
      </w:r>
      <w:bookmarkEnd w:id="94"/>
    </w:p>
    <w:p>
      <w:pPr>
        <w:spacing w:after="0" w:before="0" w:line="240" w:lineRule="auto"/>
      </w:pPr>
      <w:r>
        <w:rPr>
          <w:rFonts w:ascii="微软雅黑" w:hAnsi="微软雅黑" w:eastAsia="微软雅黑" w:cs="微软雅黑"/>
          <w:b w:val="0"/>
          <w:color w:val="212121"/>
          <w:sz w:val="18"/>
        </w:rPr>
        <w:t>部分能量消耗是对释放规则的一个例外：释放条件仍然是满能，但实际扣减量由大招自己决定，因此允许保留部分能量。</w:t>
      </w:r>
    </w:p>
    <w:p>
      <w:pPr>
        <w:spacing w:after="0" w:before="0" w:line="240" w:lineRule="auto"/>
      </w:pPr>
      <w:r>
        <w:rPr>
          <w:rFonts w:ascii="微软雅黑" w:hAnsi="微软雅黑" w:eastAsia="微软雅黑" w:cs="微软雅黑"/>
          <w:b w:val="0"/>
          <w:color w:val="212121"/>
          <w:sz w:val="18"/>
        </w:rPr>
        <w:t>菲林斯是当前唯一的使用者。它有两种形态：强化态只消耗配置的固定值，保留剩余能量；普通态返回能量上限值，效果等同于全清。由于消耗量以返回上限值的方式实现全清，两种形态的释放前置条件保持一致，都是满能。</w:t>
      </w:r>
    </w:p>
    <w:p>
      <w:pPr>
        <w:spacing w:after="0" w:before="0" w:line="240" w:lineRule="auto"/>
      </w:pPr>
      <w:r>
        <w:rPr>
          <w:rFonts w:ascii="微软雅黑" w:hAnsi="微软雅黑" w:eastAsia="微软雅黑" w:cs="微软雅黑"/>
          <w:b w:val="0"/>
          <w:color w:val="212121"/>
          <w:sz w:val="18"/>
        </w:rPr>
        <w:t>这一机制的实际影响远超伤害数字本身：保留剩余能量意味着下一次满能来得更快，大招频率随之提升。评估这类棋子的强度时，必须把这层频率收益一并计入。</w:t>
      </w:r>
    </w:p>
    <w:p>
      <w:pPr>
        <w:spacing w:after="0" w:before="0" w:line="240" w:lineRule="auto"/>
      </w:pPr>
      <w:r>
        <w:rPr>
          <w:rFonts w:ascii="微软雅黑" w:hAnsi="微软雅黑" w:eastAsia="微软雅黑" w:cs="微软雅黑"/>
          <w:b w:val="0"/>
          <w:color w:val="212121"/>
          <w:sz w:val="18"/>
        </w:rPr>
        <w:t>未实现该机制的大招走默认路径，满能后全部清零，行为不受影响。这是接口扩展而非路径替换，既有大招无需改动。</w:t>
      </w:r>
    </w:p>
    <w:p>
      <w:bookmarkStart w:id="95" w:name="sec_3_6_元素格生成"/>
      <w:pPr>
        <w:pStyle w:val="Heading3"/>
        <w:spacing w:after="60" w:before="120" w:line="240" w:lineRule="auto"/>
      </w:pPr>
      <w:r>
        <w:rPr>
          <w:rFonts w:ascii="微软雅黑" w:hAnsi="微软雅黑" w:eastAsia="微软雅黑" w:cs="微软雅黑"/>
          <w:b/>
          <w:color w:val="1A237E"/>
          <w:sz w:val="20"/>
        </w:rPr>
        <w:t>3.6 元素格生成</w:t>
      </w:r>
      <w:bookmarkEnd w:id="95"/>
    </w:p>
    <w:p>
      <w:pPr>
        <w:spacing w:after="0" w:before="0" w:line="240" w:lineRule="auto"/>
      </w:pPr>
      <w:r>
        <w:rPr>
          <w:rFonts w:ascii="微软雅黑" w:hAnsi="微软雅黑" w:eastAsia="微软雅黑" w:cs="微软雅黑"/>
          <w:b w:val="0"/>
          <w:color w:val="212121"/>
          <w:sz w:val="18"/>
        </w:rPr>
        <w:t>大招可以选择在释放时把作用范围内的全部格子转化为释放者先天元素的元素格。</w:t>
      </w:r>
    </w:p>
    <w:p>
      <w:pPr>
        <w:spacing w:after="0" w:before="0" w:line="240" w:lineRule="auto"/>
      </w:pPr>
      <w:r>
        <w:rPr>
          <w:rFonts w:ascii="微软雅黑" w:hAnsi="微软雅黑" w:eastAsia="微软雅黑" w:cs="微软雅黑"/>
          <w:b w:val="0"/>
          <w:color w:val="212121"/>
          <w:sz w:val="18"/>
        </w:rPr>
        <w:t>范围声明与范围替换分两步：效果类只负责声明"我影响了哪些格子"，替换动作由元素格管理器统一完成。各大招因此不需要各写一套替换逻辑。</w:t>
      </w:r>
    </w:p>
    <w:tbl>
      <w:tblPr>
        <w:tblW w:type="auto" w:w="0"/>
        <w:jc w:val="center"/>
        <w:tblLook w:firstColumn="1" w:firstRow="1" w:lastColumn="0" w:lastRow="0" w:noHBand="0" w:noVBand="1" w:val="04A0"/>
        <w:tblLayout w:type="fixed"/>
        <w:tblW w:w="6832" w:type="dxa"/>
      </w:tblPr>
      <w:tblGrid>
        <w:gridCol w:w="1166"/>
        <w:gridCol w:w="5666"/>
      </w:tblGrid>
      <w:tr>
        <w:tc>
          <w:tcPr>
            <w:tcW w:type="dxa" w:w="11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要点</w:t>
            </w:r>
          </w:p>
        </w:tc>
        <w:tc>
          <w:tcPr>
            <w:tcW w:type="dxa" w:w="56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说明</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范围口径</w:t>
            </w:r>
          </w:p>
        </w:tc>
        <w:tc>
          <w:tcPr>
            <w:tcW w:type="dxa" w:w="56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大招的完整几何作用范围，不区分效果性质、不排除已被占据的格子</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调用时机</w:t>
            </w:r>
          </w:p>
        </w:tc>
        <w:tc>
          <w:tcPr>
            <w:tcW w:type="dxa" w:w="56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声明在结算之前，替换在结算之后</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生效条件</w:t>
            </w:r>
          </w:p>
        </w:tc>
        <w:tc>
          <w:tcPr>
            <w:tcW w:type="dxa" w:w="56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需同时满足启用元素格、范围非空、释放者先天元素非空</w:t>
            </w:r>
          </w:p>
        </w:tc>
      </w:tr>
      <w:tr>
        <w:tc>
          <w:tcPr>
            <w:tcW w:type="dxa" w:w="11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未声明范围</w:t>
            </w:r>
          </w:p>
        </w:tc>
        <w:tc>
          <w:tcPr>
            <w:tcW w:type="dxa" w:w="56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启用元素格但不实现范围声明时，不产生替换并告警一次</w:t>
            </w:r>
          </w:p>
        </w:tc>
      </w:tr>
    </w:tbl>
    <w:p>
      <w:pPr>
        <w:spacing w:after="0" w:before="0" w:line="240" w:lineRule="auto"/>
      </w:pPr>
      <w:r>
        <w:rPr>
          <w:rFonts w:ascii="微软雅黑" w:hAnsi="微软雅黑" w:eastAsia="微软雅黑" w:cs="微软雅黑"/>
          <w:b w:val="0"/>
          <w:color w:val="212121"/>
          <w:sz w:val="18"/>
        </w:rPr>
        <w:t>范围声明排在结算之前，是因为部分大招会移动释放者（冲刺类），声明必须在位置变化前完成。替换排在结算之后，是为了让结算读到替换前的棋盘状态。</w:t>
      </w:r>
    </w:p>
    <w:p>
      <w:pPr>
        <w:spacing w:after="0" w:before="0" w:line="240" w:lineRule="auto"/>
      </w:pPr>
      <w:r>
        <w:rPr>
          <w:rFonts w:ascii="微软雅黑" w:hAnsi="微软雅黑" w:eastAsia="微软雅黑" w:cs="微软雅黑"/>
          <w:b w:val="0"/>
          <w:color w:val="212121"/>
          <w:sz w:val="18"/>
        </w:rPr>
        <w:t>告警一次而非静默失效，是为了让配置错误立刻可见：勾了元素格却没实现范围声明，是配置与实现不匹配，应当在开发期就被发现。</w:t>
      </w:r>
    </w:p>
    <w:p>
      <w:bookmarkStart w:id="96" w:name="sec_4_数值与公式"/>
      <w:pPr>
        <w:pStyle w:val="Heading2"/>
        <w:spacing w:after="80" w:before="160" w:line="240" w:lineRule="auto"/>
      </w:pPr>
      <w:r>
        <w:rPr>
          <w:rFonts w:ascii="微软雅黑" w:hAnsi="微软雅黑" w:eastAsia="微软雅黑" w:cs="微软雅黑"/>
          <w:b/>
          <w:color w:val="1A237E"/>
          <w:sz w:val="22"/>
        </w:rPr>
        <w:t>4. 数值与公式</w:t>
      </w:r>
      <w:bookmarkEnd w:id="96"/>
    </w:p>
    <w:p>
      <w:bookmarkStart w:id="97" w:name="sec_4_1_能量积攒速率"/>
      <w:pPr>
        <w:pStyle w:val="Heading3"/>
        <w:spacing w:after="60" w:before="120" w:line="240" w:lineRule="auto"/>
      </w:pPr>
      <w:r>
        <w:rPr>
          <w:rFonts w:ascii="微软雅黑" w:hAnsi="微软雅黑" w:eastAsia="微软雅黑" w:cs="微软雅黑"/>
          <w:b/>
          <w:color w:val="1A237E"/>
          <w:sz w:val="20"/>
        </w:rPr>
        <w:t>4.1 能量积攒速率</w:t>
      </w:r>
      <w:bookmarkEnd w:id="97"/>
    </w:p>
    <w:p>
      <w:pPr>
        <w:spacing w:after="0" w:before="0" w:line="240" w:lineRule="auto"/>
      </w:pPr>
      <w:r>
        <w:rPr>
          <w:rFonts w:ascii="微软雅黑" w:hAnsi="微软雅黑" w:eastAsia="微软雅黑" w:cs="微软雅黑"/>
          <w:b w:val="0"/>
          <w:color w:val="212121"/>
          <w:sz w:val="18"/>
        </w:rPr>
        <w:t>以典型的能量配置为例：移动增量五点，攻击增量十五点，满能需求一百点。则：</w:t>
      </w:r>
    </w:p>
    <w:p>
      <w:pPr>
        <w:spacing w:after="0" w:before="0" w:line="240" w:lineRule="auto"/>
      </w:pPr>
      <w:r>
        <w:rPr>
          <w:rFonts w:ascii="微软雅黑" w:hAnsi="微软雅黑" w:eastAsia="微软雅黑" w:cs="微软雅黑"/>
          <w:b w:val="0"/>
          <w:color w:val="212121"/>
          <w:sz w:val="18"/>
        </w:rPr>
        <w:t>满能所需攻击次数 = 满能需求 ÷ 攻击增量 = 100 ÷ 15 ≈ 6.67，向上取整为七次攻击</w:t>
      </w:r>
    </w:p>
    <w:p>
      <w:pPr>
        <w:spacing w:after="0" w:before="0" w:line="240" w:lineRule="auto"/>
      </w:pPr>
      <w:r>
        <w:rPr>
          <w:rFonts w:ascii="微软雅黑" w:hAnsi="微软雅黑" w:eastAsia="微软雅黑" w:cs="微软雅黑"/>
          <w:b w:val="0"/>
          <w:color w:val="212121"/>
          <w:sz w:val="18"/>
        </w:rPr>
        <w:t>满能所需移动次数 = 满能需求 ÷ 移动增量 = 100 ÷ 5 = 20 次移动</w:t>
      </w:r>
    </w:p>
    <w:p>
      <w:pPr>
        <w:spacing w:after="0" w:before="0" w:line="240" w:lineRule="auto"/>
      </w:pPr>
      <w:r>
        <w:rPr>
          <w:rFonts w:ascii="微软雅黑" w:hAnsi="微软雅黑" w:eastAsia="微软雅黑" w:cs="微软雅黑"/>
          <w:b w:val="0"/>
          <w:color w:val="212121"/>
          <w:sz w:val="18"/>
        </w:rPr>
        <w:t>纯靠移动攒满需要二十次移动，这个数字远超单局的可承受量，说明移动只是辅助来源，攻击才是主要的攒能手段。</w:t>
      </w:r>
    </w:p>
    <w:p>
      <w:bookmarkStart w:id="98" w:name="sec_4_2_演算示例"/>
      <w:pPr>
        <w:pStyle w:val="Heading3"/>
        <w:spacing w:after="60" w:before="120" w:line="240" w:lineRule="auto"/>
      </w:pPr>
      <w:r>
        <w:rPr>
          <w:rFonts w:ascii="微软雅黑" w:hAnsi="微软雅黑" w:eastAsia="微软雅黑" w:cs="微软雅黑"/>
          <w:b/>
          <w:color w:val="1A237E"/>
          <w:sz w:val="20"/>
        </w:rPr>
        <w:t>4.2 演算示例</w:t>
      </w:r>
      <w:bookmarkEnd w:id="98"/>
    </w:p>
    <w:p>
      <w:pPr>
        <w:spacing w:after="0" w:before="0" w:line="240" w:lineRule="auto"/>
      </w:pPr>
      <w:r>
        <w:rPr>
          <w:rFonts w:ascii="微软雅黑" w:hAnsi="微软雅黑" w:eastAsia="微软雅黑" w:cs="微软雅黑"/>
          <w:b w:val="0"/>
          <w:color w:val="212121"/>
          <w:sz w:val="18"/>
        </w:rPr>
        <w:t>例一，纯攻击攒能，攻击增量十五点：</w:t>
      </w:r>
    </w:p>
    <w:p>
      <w:pPr>
        <w:spacing w:after="0" w:before="0" w:line="240" w:lineRule="auto"/>
        <w:ind w:left="280"/>
      </w:pPr>
      <w:r>
        <w:rPr>
          <w:rFonts w:ascii="微软雅黑" w:hAnsi="微软雅黑" w:eastAsia="微软雅黑" w:cs="微软雅黑"/>
          <w:b w:val="0"/>
          <w:color w:val="757575"/>
          <w:sz w:val="16"/>
        </w:rPr>
        <w:t>满能需求 100</w:t>
      </w:r>
    </w:p>
    <w:p>
      <w:pPr>
        <w:spacing w:after="0" w:before="0" w:line="240" w:lineRule="auto"/>
        <w:ind w:left="280"/>
      </w:pPr>
      <w:r>
        <w:rPr>
          <w:rFonts w:ascii="微软雅黑" w:hAnsi="微软雅黑" w:eastAsia="微软雅黑" w:cs="微软雅黑"/>
          <w:b w:val="0"/>
          <w:color w:val="757575"/>
          <w:sz w:val="16"/>
        </w:rPr>
        <w:t>100 ÷ 15 ≈ 6.67</w:t>
      </w:r>
    </w:p>
    <w:p>
      <w:pPr>
        <w:spacing w:after="0" w:before="0" w:line="240" w:lineRule="auto"/>
        <w:ind w:left="280"/>
      </w:pPr>
      <w:r>
        <w:rPr>
          <w:rFonts w:ascii="微软雅黑" w:hAnsi="微软雅黑" w:eastAsia="微软雅黑" w:cs="微软雅黑"/>
          <w:b w:val="0"/>
          <w:color w:val="757575"/>
          <w:sz w:val="16"/>
        </w:rPr>
        <w:t>第六次攻击后能量为 90，未满</w:t>
      </w:r>
    </w:p>
    <w:p>
      <w:pPr>
        <w:spacing w:after="0" w:before="0" w:line="240" w:lineRule="auto"/>
        <w:ind w:left="280"/>
      </w:pPr>
      <w:r>
        <w:rPr>
          <w:rFonts w:ascii="微软雅黑" w:hAnsi="微软雅黑" w:eastAsia="微软雅黑" w:cs="微软雅黑"/>
          <w:b w:val="0"/>
          <w:color w:val="757575"/>
          <w:sz w:val="16"/>
        </w:rPr>
        <w:t>第七次攻击后能量为 105，封顶到 100</w:t>
      </w:r>
    </w:p>
    <w:p>
      <w:pPr>
        <w:spacing w:after="0" w:before="0" w:line="240" w:lineRule="auto"/>
        <w:ind w:left="280"/>
      </w:pPr>
      <w:r>
        <w:rPr>
          <w:rFonts w:ascii="微软雅黑" w:hAnsi="微软雅黑" w:eastAsia="微软雅黑" w:cs="微软雅黑"/>
          <w:b w:val="0"/>
          <w:color w:val="757575"/>
          <w:sz w:val="16"/>
        </w:rPr>
        <w:t>结果：第七次攻击时满能</w:t>
      </w:r>
    </w:p>
    <w:p>
      <w:pPr>
        <w:spacing w:after="0" w:before="0" w:line="240" w:lineRule="auto"/>
      </w:pPr>
      <w:r>
        <w:rPr>
          <w:rFonts w:ascii="微软雅黑" w:hAnsi="微软雅黑" w:eastAsia="微软雅黑" w:cs="微软雅黑"/>
          <w:b w:val="0"/>
          <w:color w:val="212121"/>
          <w:sz w:val="18"/>
        </w:rPr>
        <w:t>例二，典型混合节奏，每回合移动两次、攻击一次：</w:t>
      </w:r>
    </w:p>
    <w:p>
      <w:pPr>
        <w:spacing w:after="0" w:before="0" w:line="240" w:lineRule="auto"/>
        <w:ind w:left="280"/>
      </w:pPr>
      <w:r>
        <w:rPr>
          <w:rFonts w:ascii="微软雅黑" w:hAnsi="微软雅黑" w:eastAsia="微软雅黑" w:cs="微软雅黑"/>
          <w:b w:val="0"/>
          <w:color w:val="757575"/>
          <w:sz w:val="16"/>
        </w:rPr>
        <w:t>每回合能量 = 2 × 5 + 1 × 15 = 25</w:t>
      </w:r>
    </w:p>
    <w:p>
      <w:pPr>
        <w:spacing w:after="0" w:before="0" w:line="240" w:lineRule="auto"/>
        <w:ind w:left="280"/>
      </w:pPr>
      <w:r>
        <w:rPr>
          <w:rFonts w:ascii="微软雅黑" w:hAnsi="微软雅黑" w:eastAsia="微软雅黑" w:cs="微软雅黑"/>
          <w:b w:val="0"/>
          <w:color w:val="757575"/>
          <w:sz w:val="16"/>
        </w:rPr>
        <w:t>满能所需回合 = 100 ÷ 25 = 4 回合</w:t>
      </w:r>
    </w:p>
    <w:p>
      <w:pPr>
        <w:spacing w:after="0" w:before="0" w:line="240" w:lineRule="auto"/>
        <w:ind w:left="280"/>
      </w:pPr>
      <w:r>
        <w:rPr>
          <w:rFonts w:ascii="微软雅黑" w:hAnsi="微软雅黑" w:eastAsia="微软雅黑" w:cs="微软雅黑"/>
          <w:b w:val="0"/>
          <w:color w:val="757575"/>
          <w:sz w:val="16"/>
        </w:rPr>
        <w:t>结果：约四个回合满能</w:t>
      </w:r>
    </w:p>
    <w:p>
      <w:pPr>
        <w:spacing w:after="0" w:before="0" w:line="240" w:lineRule="auto"/>
      </w:pPr>
      <w:r>
        <w:rPr>
          <w:rFonts w:ascii="微软雅黑" w:hAnsi="微软雅黑" w:eastAsia="微软雅黑" w:cs="微软雅黑"/>
          <w:b w:val="0"/>
          <w:color w:val="212121"/>
          <w:sz w:val="18"/>
        </w:rPr>
        <w:t>一个回合是单方行动一次，四个回合即双方各行动两次。若一个大轮约一分钟，则约每两分钟可以释放一次大招。这是大招节奏的核心参数。</w:t>
      </w:r>
    </w:p>
    <w:p>
      <w:pPr>
        <w:spacing w:after="0" w:before="0" w:line="240" w:lineRule="auto"/>
      </w:pPr>
      <w:r>
        <w:rPr>
          <w:rFonts w:ascii="微软雅黑" w:hAnsi="微软雅黑" w:eastAsia="微软雅黑" w:cs="微软雅黑"/>
          <w:b w:val="0"/>
          <w:color w:val="212121"/>
          <w:sz w:val="18"/>
        </w:rPr>
        <w:t>例三，带每回合回复五点的情况：</w:t>
      </w:r>
    </w:p>
    <w:p>
      <w:pPr>
        <w:spacing w:after="0" w:before="0" w:line="240" w:lineRule="auto"/>
        <w:ind w:left="280"/>
      </w:pPr>
      <w:r>
        <w:rPr>
          <w:rFonts w:ascii="微软雅黑" w:hAnsi="微软雅黑" w:eastAsia="微软雅黑" w:cs="微软雅黑"/>
          <w:b w:val="0"/>
          <w:color w:val="757575"/>
          <w:sz w:val="16"/>
        </w:rPr>
        <w:t>每回合能量 = 25 + 5 = 30</w:t>
      </w:r>
    </w:p>
    <w:p>
      <w:pPr>
        <w:spacing w:after="0" w:before="0" w:line="240" w:lineRule="auto"/>
        <w:ind w:left="280"/>
      </w:pPr>
      <w:r>
        <w:rPr>
          <w:rFonts w:ascii="微软雅黑" w:hAnsi="微软雅黑" w:eastAsia="微软雅黑" w:cs="微软雅黑"/>
          <w:b w:val="0"/>
          <w:color w:val="757575"/>
          <w:sz w:val="16"/>
        </w:rPr>
        <w:t>满能所需回合 = 100 ÷ 30 ≈ 3.33</w:t>
      </w:r>
    </w:p>
    <w:p>
      <w:pPr>
        <w:spacing w:after="0" w:before="0" w:line="240" w:lineRule="auto"/>
        <w:ind w:left="280"/>
      </w:pPr>
      <w:r>
        <w:rPr>
          <w:rFonts w:ascii="微软雅黑" w:hAnsi="微软雅黑" w:eastAsia="微软雅黑" w:cs="微软雅黑"/>
          <w:b w:val="0"/>
          <w:color w:val="757575"/>
          <w:sz w:val="16"/>
        </w:rPr>
        <w:t>结果：约三个半回合满能</w:t>
      </w:r>
    </w:p>
    <w:p>
      <w:pPr>
        <w:spacing w:after="0" w:before="0" w:line="240" w:lineRule="auto"/>
      </w:pPr>
      <w:r>
        <w:rPr>
          <w:rFonts w:ascii="微软雅黑" w:hAnsi="微软雅黑" w:eastAsia="微软雅黑" w:cs="微软雅黑"/>
          <w:b w:val="0"/>
          <w:color w:val="212121"/>
          <w:sz w:val="18"/>
        </w:rPr>
        <w:t>每回合回复会把大招节奏往前推。设计携带回能效果的棋子时需要注意，它可能把释放间隔从四回合压到三回合左右。</w:t>
      </w:r>
    </w:p>
    <w:p>
      <w:pPr>
        <w:spacing w:after="0" w:before="0" w:line="240" w:lineRule="auto"/>
      </w:pPr>
      <w:r>
        <w:rPr>
          <w:rFonts w:ascii="微软雅黑" w:hAnsi="微软雅黑" w:eastAsia="微软雅黑" w:cs="微软雅黑"/>
          <w:b w:val="0"/>
          <w:color w:val="212121"/>
          <w:sz w:val="18"/>
        </w:rPr>
        <w:t>例四，部分能量消耗对频率的影响，强化态消耗五十点：</w:t>
      </w:r>
    </w:p>
    <w:p>
      <w:pPr>
        <w:spacing w:after="0" w:before="0" w:line="240" w:lineRule="auto"/>
        <w:ind w:left="280"/>
      </w:pPr>
      <w:r>
        <w:rPr>
          <w:rFonts w:ascii="微软雅黑" w:hAnsi="微软雅黑" w:eastAsia="微软雅黑" w:cs="微软雅黑"/>
          <w:b w:val="0"/>
          <w:color w:val="757575"/>
          <w:sz w:val="16"/>
        </w:rPr>
        <w:t>首次释放：满能 100，消耗 50，剩余 50</w:t>
      </w:r>
    </w:p>
    <w:p>
      <w:pPr>
        <w:spacing w:after="0" w:before="0" w:line="240" w:lineRule="auto"/>
        <w:ind w:left="280"/>
      </w:pPr>
      <w:r>
        <w:rPr>
          <w:rFonts w:ascii="微软雅黑" w:hAnsi="微软雅黑" w:eastAsia="微软雅黑" w:cs="微软雅黑"/>
          <w:b w:val="0"/>
          <w:color w:val="757575"/>
          <w:sz w:val="16"/>
        </w:rPr>
        <w:t>下一次满能所需 = 100 − 50 = 50</w:t>
      </w:r>
    </w:p>
    <w:p>
      <w:pPr>
        <w:spacing w:after="0" w:before="0" w:line="240" w:lineRule="auto"/>
        <w:ind w:left="280"/>
      </w:pPr>
      <w:r>
        <w:rPr>
          <w:rFonts w:ascii="微软雅黑" w:hAnsi="微软雅黑" w:eastAsia="微软雅黑" w:cs="微软雅黑"/>
          <w:b w:val="0"/>
          <w:color w:val="757575"/>
          <w:sz w:val="16"/>
        </w:rPr>
        <w:t>若仍按每回合 25 点计，则约两回合后再次满能</w:t>
      </w:r>
    </w:p>
    <w:p>
      <w:pPr>
        <w:spacing w:after="0" w:before="0" w:line="240" w:lineRule="auto"/>
        <w:ind w:left="280"/>
      </w:pPr>
      <w:r>
        <w:rPr>
          <w:rFonts w:ascii="微软雅黑" w:hAnsi="微软雅黑" w:eastAsia="微软雅黑" w:cs="微软雅黑"/>
          <w:b w:val="0"/>
          <w:color w:val="757575"/>
          <w:sz w:val="16"/>
        </w:rPr>
        <w:t>结果：释放间隔减半</w:t>
      </w:r>
    </w:p>
    <w:p>
      <w:pPr>
        <w:spacing w:after="0" w:before="0" w:line="240" w:lineRule="auto"/>
      </w:pPr>
      <w:r>
        <w:rPr>
          <w:rFonts w:ascii="微软雅黑" w:hAnsi="微软雅黑" w:eastAsia="微软雅黑" w:cs="微软雅黑"/>
          <w:b w:val="0"/>
          <w:color w:val="212121"/>
          <w:sz w:val="18"/>
        </w:rPr>
        <w:t>这是部分能量消耗真正的强度所在：它不只让这一发更强，还让下一发来得更快。两项收益叠加后，该棋子的实际输出预期显著高于仅看单次伤害的估计。</w:t>
      </w:r>
    </w:p>
    <w:p>
      <w:bookmarkStart w:id="99" w:name="sec_4_3_数值总表"/>
      <w:pPr>
        <w:pStyle w:val="Heading3"/>
        <w:spacing w:after="60" w:before="120" w:line="240" w:lineRule="auto"/>
      </w:pPr>
      <w:r>
        <w:rPr>
          <w:rFonts w:ascii="微软雅黑" w:hAnsi="微软雅黑" w:eastAsia="微软雅黑" w:cs="微软雅黑"/>
          <w:b/>
          <w:color w:val="1A237E"/>
          <w:sz w:val="20"/>
        </w:rPr>
        <w:t>4.3 数值总表</w:t>
      </w:r>
      <w:bookmarkEnd w:id="99"/>
    </w:p>
    <w:tbl>
      <w:tblPr>
        <w:tblW w:type="auto" w:w="0"/>
        <w:jc w:val="center"/>
        <w:tblLook w:firstColumn="1" w:firstRow="1" w:lastColumn="0" w:lastRow="0" w:noHBand="0" w:noVBand="1" w:val="04A0"/>
        <w:tblLayout w:type="fixed"/>
        <w:tblW w:w="5543" w:type="dxa"/>
      </w:tblPr>
      <w:tblGrid>
        <w:gridCol w:w="2606"/>
        <w:gridCol w:w="626"/>
        <w:gridCol w:w="2311"/>
      </w:tblGrid>
      <w:tr>
        <w:tc>
          <w:tcPr>
            <w:tcW w:type="dxa" w:w="260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参数</w:t>
            </w:r>
          </w:p>
        </w:tc>
        <w:tc>
          <w:tcPr>
            <w:tcW w:type="dxa" w:w="6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取值</w:t>
            </w:r>
          </w:p>
        </w:tc>
        <w:tc>
          <w:tcPr>
            <w:tcW w:type="dxa" w:w="2311"/>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说明</w:t>
            </w:r>
          </w:p>
        </w:tc>
      </w:tr>
      <w:tr>
        <w:tc>
          <w:tcPr>
            <w:tcW w:type="dxa" w:w="26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满能需求（多数棋子）</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100</w:t>
            </w:r>
          </w:p>
        </w:tc>
        <w:tc>
          <w:tcPr>
            <w:tcW w:type="dxa" w:w="231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逐棋子配置</w:t>
            </w:r>
          </w:p>
        </w:tc>
      </w:tr>
      <w:tr>
        <w:tc>
          <w:tcPr>
            <w:tcW w:type="dxa" w:w="26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满能需求（杜林）</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60</w:t>
            </w:r>
          </w:p>
        </w:tc>
        <w:tc>
          <w:tcPr>
            <w:tcW w:type="dxa" w:w="231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全池唯一低于 100 的配置</w:t>
            </w:r>
          </w:p>
        </w:tc>
      </w:tr>
      <w:tr>
        <w:tc>
          <w:tcPr>
            <w:tcW w:type="dxa" w:w="26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移动增量</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5</w:t>
            </w:r>
          </w:p>
        </w:tc>
        <w:tc>
          <w:tcPr>
            <w:tcW w:type="dxa" w:w="231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单次移动结算一次</w:t>
            </w:r>
          </w:p>
        </w:tc>
      </w:tr>
      <w:tr>
        <w:tc>
          <w:tcPr>
            <w:tcW w:type="dxa" w:w="26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攻击增量</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15</w:t>
            </w:r>
          </w:p>
        </w:tc>
        <w:tc>
          <w:tcPr>
            <w:tcW w:type="dxa" w:w="231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单次攻击结算一次</w:t>
            </w:r>
          </w:p>
        </w:tc>
      </w:tr>
      <w:tr>
        <w:tc>
          <w:tcPr>
            <w:tcW w:type="dxa" w:w="26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蓄力层数上限</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3</w:t>
            </w:r>
          </w:p>
        </w:tc>
        <w:tc>
          <w:tcPr>
            <w:tcW w:type="dxa" w:w="231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甘雨</w:t>
            </w:r>
          </w:p>
        </w:tc>
      </w:tr>
      <w:tr>
        <w:tc>
          <w:tcPr>
            <w:tcW w:type="dxa" w:w="26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部分消耗量（菲林斯强化态）</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50</w:t>
            </w:r>
          </w:p>
        </w:tc>
        <w:tc>
          <w:tcPr>
            <w:tcW w:type="dxa" w:w="231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占满能的一半</w:t>
            </w:r>
          </w:p>
        </w:tc>
      </w:tr>
      <w:tr>
        <w:tc>
          <w:tcPr>
            <w:tcW w:type="dxa" w:w="26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元素格持续回合</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4</w:t>
            </w:r>
          </w:p>
        </w:tc>
        <w:tc>
          <w:tcPr>
            <w:tcW w:type="dxa" w:w="231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逐大招可配</w:t>
            </w:r>
          </w:p>
        </w:tc>
      </w:tr>
      <w:tr>
        <w:tc>
          <w:tcPr>
            <w:tcW w:type="dxa" w:w="260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释放行动点消耗</w:t>
            </w:r>
          </w:p>
        </w:tc>
        <w:tc>
          <w:tcPr>
            <w:tcW w:type="dxa" w:w="6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1</w:t>
            </w:r>
          </w:p>
        </w:tc>
        <w:tc>
          <w:tcPr>
            <w:tcW w:type="dxa" w:w="2311"/>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与移动、普攻一致</w:t>
            </w:r>
          </w:p>
        </w:tc>
      </w:tr>
    </w:tbl>
    <w:p>
      <w:pPr>
        <w:spacing w:after="0" w:before="0" w:line="240" w:lineRule="auto"/>
      </w:pPr>
      <w:r>
        <w:rPr>
          <w:rFonts w:ascii="微软雅黑" w:hAnsi="微软雅黑" w:eastAsia="微软雅黑" w:cs="微软雅黑"/>
          <w:b w:val="0"/>
          <w:color w:val="212121"/>
          <w:sz w:val="18"/>
        </w:rPr>
        <w:t>杜林的满能需求为六十，是全池最低，这让它的大招节奏明显快于其他棋子。这一差异是刻意的，它与该棋子偏前排、需要频繁施压的定位相匹配。</w:t>
      </w:r>
    </w:p>
    <w:p>
      <w:bookmarkStart w:id="100" w:name="sec_5_数据结构"/>
      <w:pPr>
        <w:pStyle w:val="Heading2"/>
        <w:spacing w:after="80" w:before="160" w:line="240" w:lineRule="auto"/>
      </w:pPr>
      <w:r>
        <w:rPr>
          <w:rFonts w:ascii="微软雅黑" w:hAnsi="微软雅黑" w:eastAsia="微软雅黑" w:cs="微软雅黑"/>
          <w:b/>
          <w:color w:val="1A237E"/>
          <w:sz w:val="22"/>
        </w:rPr>
        <w:t>5. 数据结构</w:t>
      </w:r>
      <w:bookmarkEnd w:id="100"/>
    </w:p>
    <w:p>
      <w:bookmarkStart w:id="101" w:name="sec_5_1_枚举"/>
      <w:pPr>
        <w:pStyle w:val="Heading3"/>
        <w:spacing w:after="60" w:before="120" w:line="240" w:lineRule="auto"/>
      </w:pPr>
      <w:r>
        <w:rPr>
          <w:rFonts w:ascii="微软雅黑" w:hAnsi="微软雅黑" w:eastAsia="微软雅黑" w:cs="微软雅黑"/>
          <w:b/>
          <w:color w:val="1A237E"/>
          <w:sz w:val="20"/>
        </w:rPr>
        <w:t>5.1 枚举</w:t>
      </w:r>
      <w:bookmarkEnd w:id="101"/>
    </w:p>
    <w:tbl>
      <w:tblPr>
        <w:tblW w:type="auto" w:w="0"/>
        <w:jc w:val="center"/>
        <w:tblLook w:firstColumn="1" w:firstRow="1" w:lastColumn="0" w:lastRow="0" w:noHBand="0" w:noVBand="1" w:val="04A0"/>
        <w:tblLayout w:type="fixed"/>
        <w:tblW w:w="6018" w:type="dxa"/>
      </w:tblPr>
      <w:tblGrid>
        <w:gridCol w:w="986"/>
        <w:gridCol w:w="2426"/>
        <w:gridCol w:w="2606"/>
      </w:tblGrid>
      <w:tr>
        <w:tc>
          <w:tcPr>
            <w:tcW w:type="dxa" w:w="9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枚举</w:t>
            </w:r>
          </w:p>
        </w:tc>
        <w:tc>
          <w:tcPr>
            <w:tcW w:type="dxa" w:w="24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成员</w:t>
            </w:r>
          </w:p>
        </w:tc>
        <w:tc>
          <w:tcPr>
            <w:tcW w:type="dxa" w:w="260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说明</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目标模式</w:t>
            </w:r>
          </w:p>
        </w:tc>
        <w:tc>
          <w:tcPr>
            <w:tcW w:type="dxa" w:w="24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敌方棋子、自身、指定格子</w:t>
            </w:r>
          </w:p>
        </w:tc>
        <w:tc>
          <w:tcPr>
            <w:tcW w:type="dxa" w:w="26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顺序即枚举值，敌方棋子为零</w:t>
            </w:r>
          </w:p>
        </w:tc>
      </w:tr>
      <w:tr>
        <w:tc>
          <w:tcPr>
            <w:tcW w:type="dxa" w:w="9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格子形状</w:t>
            </w:r>
          </w:p>
        </w:tc>
        <w:tc>
          <w:tcPr>
            <w:tcW w:type="dxa" w:w="24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圆形、射线</w:t>
            </w:r>
          </w:p>
        </w:tc>
        <w:tc>
          <w:tcPr>
            <w:tcW w:type="dxa" w:w="260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顺序即枚举值，圆形为零</w:t>
            </w:r>
          </w:p>
        </w:tc>
      </w:tr>
    </w:tbl>
    <w:p>
      <w:bookmarkStart w:id="102" w:name="sec_5_2_大招配置"/>
      <w:pPr>
        <w:pStyle w:val="Heading3"/>
        <w:spacing w:after="60" w:before="120" w:line="240" w:lineRule="auto"/>
      </w:pPr>
      <w:r>
        <w:rPr>
          <w:rFonts w:ascii="微软雅黑" w:hAnsi="微软雅黑" w:eastAsia="微软雅黑" w:cs="微软雅黑"/>
          <w:b/>
          <w:color w:val="1A237E"/>
          <w:sz w:val="20"/>
        </w:rPr>
        <w:t>5.2 大招配置</w:t>
      </w:r>
      <w:bookmarkEnd w:id="102"/>
    </w:p>
    <w:p>
      <w:pPr>
        <w:spacing w:after="0" w:before="0" w:line="240" w:lineRule="auto"/>
      </w:pPr>
      <w:r>
        <w:rPr>
          <w:rFonts w:ascii="微软雅黑" w:hAnsi="微软雅黑" w:eastAsia="微软雅黑" w:cs="微软雅黑"/>
          <w:b w:val="0"/>
          <w:color w:val="212121"/>
          <w:sz w:val="18"/>
        </w:rPr>
        <w:t>大招配置是棋子数据的内嵌子结构，随棋子一同配置。</w:t>
      </w:r>
    </w:p>
    <w:tbl>
      <w:tblPr>
        <w:tblW w:type="auto" w:w="0"/>
        <w:jc w:val="center"/>
        <w:tblLook w:firstColumn="1" w:firstRow="1" w:lastColumn="0" w:lastRow="0" w:noHBand="0" w:noVBand="1" w:val="04A0"/>
        <w:tblLayout w:type="fixed"/>
        <w:tblW w:w="7345" w:type="dxa"/>
      </w:tblPr>
      <w:tblGrid>
        <w:gridCol w:w="1166"/>
        <w:gridCol w:w="2501"/>
        <w:gridCol w:w="1346"/>
        <w:gridCol w:w="986"/>
        <w:gridCol w:w="1346"/>
      </w:tblGrid>
      <w:tr>
        <w:tc>
          <w:tcPr>
            <w:tcW w:type="dxa" w:w="11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字段中文名</w:t>
            </w:r>
          </w:p>
        </w:tc>
        <w:tc>
          <w:tcPr>
            <w:tcW w:type="dxa" w:w="2501"/>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字段英文名</w:t>
            </w:r>
          </w:p>
        </w:tc>
        <w:tc>
          <w:tcPr>
            <w:tcW w:type="dxa" w:w="134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类型</w:t>
            </w:r>
          </w:p>
        </w:tc>
        <w:tc>
          <w:tcPr>
            <w:tcW w:type="dxa" w:w="9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默认</w:t>
            </w:r>
          </w:p>
        </w:tc>
        <w:tc>
          <w:tcPr>
            <w:tcW w:type="dxa" w:w="134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注释</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大招名</w:t>
            </w:r>
          </w:p>
        </w:tc>
        <w:tc>
          <w:tcPr>
            <w:tcW w:type="dxa" w:w="250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ultimateName</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string</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空</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显示用</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能量需求</w:t>
            </w:r>
          </w:p>
        </w:tc>
        <w:tc>
          <w:tcPr>
            <w:tcW w:type="dxa" w:w="250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energyRequired</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int</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100</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满能阈值</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移动获能</w:t>
            </w:r>
          </w:p>
        </w:tc>
        <w:tc>
          <w:tcPr>
            <w:tcW w:type="dxa" w:w="250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energyPerMove</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int</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5</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每次移动</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攻击获能</w:t>
            </w:r>
          </w:p>
        </w:tc>
        <w:tc>
          <w:tcPr>
            <w:tcW w:type="dxa" w:w="250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energyPerAttack</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int</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15</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每次攻击</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是否需目标</w:t>
            </w:r>
          </w:p>
        </w:tc>
        <w:tc>
          <w:tcPr>
            <w:tcW w:type="dxa" w:w="250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requiresTarget</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bool</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是</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旧字段</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目标模式</w:t>
            </w:r>
          </w:p>
        </w:tc>
        <w:tc>
          <w:tcPr>
            <w:tcW w:type="dxa" w:w="250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targetMode</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目标模式枚举</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敌方棋子</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优先于旧字段</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格子距离</w:t>
            </w:r>
          </w:p>
        </w:tc>
        <w:tc>
          <w:tcPr>
            <w:tcW w:type="dxa" w:w="250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tileTargetRange</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int</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0</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射线需大于零</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格子形状</w:t>
            </w:r>
          </w:p>
        </w:tc>
        <w:tc>
          <w:tcPr>
            <w:tcW w:type="dxa" w:w="250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tileTargetShape</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格子形状枚举</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圆形</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高亮形状</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效果类名</w:t>
            </w:r>
          </w:p>
        </w:tc>
        <w:tc>
          <w:tcPr>
            <w:tcW w:type="dxa" w:w="250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effectClassName</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string</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空</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实现类名</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效果参数</w:t>
            </w:r>
          </w:p>
        </w:tc>
        <w:tc>
          <w:tcPr>
            <w:tcW w:type="dxa" w:w="250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effectJsonParams</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string</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空</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JSON 格式</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启用元素格</w:t>
            </w:r>
          </w:p>
        </w:tc>
        <w:tc>
          <w:tcPr>
            <w:tcW w:type="dxa" w:w="250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enableElementTiles</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bool</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否</w:t>
            </w:r>
          </w:p>
        </w:tc>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转元素格</w:t>
            </w:r>
          </w:p>
        </w:tc>
      </w:tr>
      <w:tr>
        <w:tc>
          <w:tcPr>
            <w:tcW w:type="dxa" w:w="11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元素格持续</w:t>
            </w:r>
          </w:p>
        </w:tc>
        <w:tc>
          <w:tcPr>
            <w:tcW w:type="dxa" w:w="2501"/>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elementTileDurationTurns</w:t>
            </w:r>
          </w:p>
        </w:tc>
        <w:tc>
          <w:tcPr>
            <w:tcW w:type="dxa" w:w="134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int</w:t>
            </w:r>
          </w:p>
        </w:tc>
        <w:tc>
          <w:tcPr>
            <w:tcW w:type="dxa" w:w="9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4</w:t>
            </w:r>
          </w:p>
        </w:tc>
        <w:tc>
          <w:tcPr>
            <w:tcW w:type="dxa" w:w="134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持续回合数</w:t>
            </w:r>
          </w:p>
        </w:tc>
      </w:tr>
    </w:tbl>
    <w:p>
      <w:pPr>
        <w:spacing w:after="0" w:before="0" w:line="240" w:lineRule="auto"/>
      </w:pPr>
      <w:r>
        <w:rPr>
          <w:rFonts w:ascii="微软雅黑" w:hAnsi="微软雅黑" w:eastAsia="微软雅黑" w:cs="微软雅黑"/>
          <w:b w:val="0"/>
          <w:color w:val="212121"/>
          <w:sz w:val="18"/>
        </w:rPr>
        <w:t>配置中另有两个由字段派生的只读判定：是否为指定格子模式、是否为自身施法。后者综合目标模式与是否需目标两个字段得出，是判断大招选取方式的唯一入口。</w:t>
      </w:r>
    </w:p>
    <w:p>
      <w:bookmarkStart w:id="103" w:name="sec_5_3_能量模型"/>
      <w:pPr>
        <w:pStyle w:val="Heading3"/>
        <w:spacing w:after="60" w:before="120" w:line="240" w:lineRule="auto"/>
      </w:pPr>
      <w:r>
        <w:rPr>
          <w:rFonts w:ascii="微软雅黑" w:hAnsi="微软雅黑" w:eastAsia="微软雅黑" w:cs="微软雅黑"/>
          <w:b/>
          <w:color w:val="1A237E"/>
          <w:sz w:val="20"/>
        </w:rPr>
        <w:t>5.3 能量模型</w:t>
      </w:r>
      <w:bookmarkEnd w:id="103"/>
    </w:p>
    <w:tbl>
      <w:tblPr>
        <w:tblW w:type="auto" w:w="0"/>
        <w:jc w:val="center"/>
        <w:tblLook w:firstColumn="1" w:firstRow="1" w:lastColumn="0" w:lastRow="0" w:noHBand="0" w:noVBand="1" w:val="04A0"/>
        <w:tblLayout w:type="fixed"/>
        <w:tblW w:w="6233" w:type="dxa"/>
      </w:tblPr>
      <w:tblGrid>
        <w:gridCol w:w="1346"/>
        <w:gridCol w:w="1201"/>
        <w:gridCol w:w="3686"/>
      </w:tblGrid>
      <w:tr>
        <w:tc>
          <w:tcPr>
            <w:tcW w:type="dxa" w:w="134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成员</w:t>
            </w:r>
          </w:p>
        </w:tc>
        <w:tc>
          <w:tcPr>
            <w:tcW w:type="dxa" w:w="1201"/>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类型</w:t>
            </w:r>
          </w:p>
        </w:tc>
        <w:tc>
          <w:tcPr>
            <w:tcW w:type="dxa" w:w="36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说明</w:t>
            </w:r>
          </w:p>
        </w:tc>
      </w:tr>
      <w:tr>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上限</w:t>
            </w:r>
          </w:p>
        </w:tc>
        <w:tc>
          <w:tcPr>
            <w:tcW w:type="dxa" w:w="120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int，只读</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构造时注入，非正值回落到一百</w:t>
            </w:r>
          </w:p>
        </w:tc>
      </w:tr>
      <w:tr>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当前值</w:t>
            </w:r>
          </w:p>
        </w:tc>
        <w:tc>
          <w:tcPr>
            <w:tcW w:type="dxa" w:w="120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int，只读</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初始为零</w:t>
            </w:r>
          </w:p>
        </w:tc>
      </w:tr>
      <w:tr>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是否满</w:t>
            </w:r>
          </w:p>
        </w:tc>
        <w:tc>
          <w:tcPr>
            <w:tcW w:type="dxa" w:w="120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bool，只读</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当前值大于等于上限</w:t>
            </w:r>
          </w:p>
        </w:tc>
      </w:tr>
      <w:tr>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能量变化事件</w:t>
            </w:r>
          </w:p>
        </w:tc>
        <w:tc>
          <w:tcPr>
            <w:tcW w:type="dxa" w:w="120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委托</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参数为新的当前值，供界面订阅</w:t>
            </w:r>
          </w:p>
        </w:tc>
      </w:tr>
      <w:tr>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增加</w:t>
            </w:r>
          </w:p>
        </w:tc>
        <w:tc>
          <w:tcPr>
            <w:tcW w:type="dxa" w:w="120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方法</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非正值忽略，结果封顶到上限</w:t>
            </w:r>
          </w:p>
        </w:tc>
      </w:tr>
      <w:tr>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满能全清</w:t>
            </w:r>
          </w:p>
        </w:tc>
        <w:tc>
          <w:tcPr>
            <w:tcW w:type="dxa" w:w="120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方法</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未满时返回失败，满时清零</w:t>
            </w:r>
          </w:p>
        </w:tc>
      </w:tr>
      <w:tr>
        <w:tc>
          <w:tcPr>
            <w:tcW w:type="dxa" w:w="134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按量消耗</w:t>
            </w:r>
          </w:p>
        </w:tc>
        <w:tc>
          <w:tcPr>
            <w:tcW w:type="dxa" w:w="1201"/>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方法</w:t>
            </w:r>
          </w:p>
        </w:tc>
        <w:tc>
          <w:tcPr>
            <w:tcW w:type="dxa" w:w="36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未满时返回失败，满时扣减指定量并保底零</w:t>
            </w:r>
          </w:p>
        </w:tc>
      </w:tr>
    </w:tbl>
    <w:p>
      <w:pPr>
        <w:spacing w:after="0" w:before="0" w:line="240" w:lineRule="auto"/>
      </w:pPr>
      <w:r>
        <w:rPr>
          <w:rFonts w:ascii="微软雅黑" w:hAnsi="微软雅黑" w:eastAsia="微软雅黑" w:cs="微软雅黑"/>
          <w:b w:val="0"/>
          <w:color w:val="212121"/>
          <w:sz w:val="18"/>
        </w:rPr>
        <w:t>按量消耗的前置条件仍是满能，这与部分能量消耗的"释放条件仍为满能"一致。消耗量不小于当前值时清零，非正值时不消耗。</w:t>
      </w:r>
    </w:p>
    <w:p>
      <w:bookmarkStart w:id="104" w:name="sec_5_4_蓄力状态"/>
      <w:pPr>
        <w:pStyle w:val="Heading3"/>
        <w:spacing w:after="60" w:before="120" w:line="240" w:lineRule="auto"/>
      </w:pPr>
      <w:r>
        <w:rPr>
          <w:rFonts w:ascii="微软雅黑" w:hAnsi="微软雅黑" w:eastAsia="微软雅黑" w:cs="微软雅黑"/>
          <w:b/>
          <w:color w:val="1A237E"/>
          <w:sz w:val="20"/>
        </w:rPr>
        <w:t>5.4 蓄力状态</w:t>
      </w:r>
      <w:bookmarkEnd w:id="104"/>
    </w:p>
    <w:p>
      <w:pPr>
        <w:spacing w:after="0" w:before="0" w:line="240" w:lineRule="auto"/>
      </w:pPr>
      <w:r>
        <w:rPr>
          <w:rFonts w:ascii="微软雅黑" w:hAnsi="微软雅黑" w:eastAsia="微软雅黑" w:cs="微软雅黑"/>
          <w:b w:val="0"/>
          <w:color w:val="212121"/>
          <w:sz w:val="18"/>
        </w:rPr>
        <w:t>蓄力状态分为配置与运行时两部分。配置在棋子数据上：是否启用蓄力系统、层数上限。运行时状态在棋子模型上：当前层数。进入时自动钳制在零到上限之间。</w:t>
      </w:r>
    </w:p>
    <w:p>
      <w:bookmarkStart w:id="105" w:name="sec_5_5_三个大招接口"/>
      <w:pPr>
        <w:pStyle w:val="Heading3"/>
        <w:spacing w:after="60" w:before="120" w:line="240" w:lineRule="auto"/>
      </w:pPr>
      <w:r>
        <w:rPr>
          <w:rFonts w:ascii="微软雅黑" w:hAnsi="微软雅黑" w:eastAsia="微软雅黑" w:cs="微软雅黑"/>
          <w:b/>
          <w:color w:val="1A237E"/>
          <w:sz w:val="20"/>
        </w:rPr>
        <w:t>5.5 三个大招接口</w:t>
      </w:r>
      <w:bookmarkEnd w:id="105"/>
    </w:p>
    <w:tbl>
      <w:tblPr>
        <w:tblW w:type="auto" w:w="0"/>
        <w:jc w:val="center"/>
        <w:tblLook w:firstColumn="1" w:firstRow="1" w:lastColumn="0" w:lastRow="0" w:noHBand="0" w:noVBand="1" w:val="04A0"/>
        <w:tblLayout w:type="fixed"/>
        <w:tblW w:w="8299" w:type="dxa"/>
      </w:tblPr>
      <w:tblGrid>
        <w:gridCol w:w="1346"/>
        <w:gridCol w:w="3985"/>
        <w:gridCol w:w="2968"/>
      </w:tblGrid>
      <w:tr>
        <w:tc>
          <w:tcPr>
            <w:tcW w:type="dxa" w:w="134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接口</w:t>
            </w:r>
          </w:p>
        </w:tc>
        <w:tc>
          <w:tcPr>
            <w:tcW w:type="dxa" w:w="3985"/>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成员</w:t>
            </w:r>
          </w:p>
        </w:tc>
        <w:tc>
          <w:tcPr>
            <w:tcW w:type="dxa" w:w="2969"/>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职责</w:t>
            </w:r>
          </w:p>
        </w:tc>
      </w:tr>
      <w:tr>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大招效果</w:t>
            </w:r>
          </w:p>
        </w:tc>
        <w:tc>
          <w:tcPr>
            <w:tcW w:type="dxa" w:w="3985"/>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两参数执行、三参数执行（默认委托两参数）</w:t>
            </w:r>
          </w:p>
        </w:tc>
        <w:tc>
          <w:tcPr>
            <w:tcW w:type="dxa" w:w="2969"/>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大招行为的契约</w:t>
            </w:r>
          </w:p>
        </w:tc>
      </w:tr>
      <w:tr>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部分能量消耗</w:t>
            </w:r>
          </w:p>
        </w:tc>
        <w:tc>
          <w:tcPr>
            <w:tcW w:type="dxa" w:w="3985"/>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取能量消耗量（传入施法者）</w:t>
            </w:r>
          </w:p>
        </w:tc>
        <w:tc>
          <w:tcPr>
            <w:tcW w:type="dxa" w:w="2969"/>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自定义消耗量，前置仍为满能</w:t>
            </w:r>
          </w:p>
        </w:tc>
      </w:tr>
      <w:tr>
        <w:tc>
          <w:tcPr>
            <w:tcW w:type="dxa" w:w="134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大招范围声明</w:t>
            </w:r>
          </w:p>
        </w:tc>
        <w:tc>
          <w:tcPr>
            <w:tcW w:type="dxa" w:w="3985"/>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取大招作用范围（传入施法者、目标、可选坐标）</w:t>
            </w:r>
          </w:p>
        </w:tc>
        <w:tc>
          <w:tcPr>
            <w:tcW w:type="dxa" w:w="2969"/>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声明影响的格子，供元素格统一替换</w:t>
            </w:r>
          </w:p>
        </w:tc>
      </w:tr>
    </w:tbl>
    <w:p>
      <w:pPr>
        <w:spacing w:after="0" w:before="0" w:line="240" w:lineRule="auto"/>
      </w:pPr>
      <w:r>
        <w:rPr>
          <w:rFonts w:ascii="微软雅黑" w:hAnsi="微软雅黑" w:eastAsia="微软雅黑" w:cs="微软雅黑"/>
          <w:b w:val="0"/>
          <w:color w:val="212121"/>
          <w:sz w:val="18"/>
        </w:rPr>
        <w:t>三参数执行的默认实现直接委托给两参数版本。既有大招无需改动，只有格子型大招覆写它，这是向后兼容的接口扩展方式。</w:t>
      </w:r>
    </w:p>
    <w:p>
      <w:bookmarkStart w:id="106" w:name="sec_5_6_棋子与大招映射"/>
      <w:pPr>
        <w:pStyle w:val="Heading3"/>
        <w:spacing w:after="60" w:before="120" w:line="240" w:lineRule="auto"/>
      </w:pPr>
      <w:r>
        <w:rPr>
          <w:rFonts w:ascii="微软雅黑" w:hAnsi="微软雅黑" w:eastAsia="微软雅黑" w:cs="微软雅黑"/>
          <w:b/>
          <w:color w:val="1A237E"/>
          <w:sz w:val="20"/>
        </w:rPr>
        <w:t>5.6 棋子与大招映射</w:t>
      </w:r>
      <w:bookmarkEnd w:id="106"/>
    </w:p>
    <w:tbl>
      <w:tblPr>
        <w:tblW w:type="auto" w:w="0"/>
        <w:jc w:val="center"/>
        <w:tblLook w:firstColumn="1" w:firstRow="1" w:lastColumn="0" w:lastRow="0" w:noHBand="0" w:noVBand="1" w:val="04A0"/>
        <w:tblLayout w:type="fixed"/>
        <w:tblW w:w="7825" w:type="dxa"/>
      </w:tblPr>
      <w:tblGrid>
        <w:gridCol w:w="986"/>
        <w:gridCol w:w="986"/>
        <w:gridCol w:w="2281"/>
        <w:gridCol w:w="986"/>
        <w:gridCol w:w="2586"/>
      </w:tblGrid>
      <w:tr>
        <w:tc>
          <w:tcPr>
            <w:tcW w:type="dxa" w:w="9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棋子</w:t>
            </w:r>
          </w:p>
        </w:tc>
        <w:tc>
          <w:tcPr>
            <w:tcW w:type="dxa" w:w="9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大招名</w:t>
            </w:r>
          </w:p>
        </w:tc>
        <w:tc>
          <w:tcPr>
            <w:tcW w:type="dxa" w:w="2281"/>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效果类</w:t>
            </w:r>
          </w:p>
        </w:tc>
        <w:tc>
          <w:tcPr>
            <w:tcW w:type="dxa" w:w="9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能量需求</w:t>
            </w:r>
          </w:p>
        </w:tc>
        <w:tc>
          <w:tcPr>
            <w:tcW w:type="dxa" w:w="25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目标模式</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菲林斯</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雷殛横光</w:t>
            </w:r>
          </w:p>
        </w:tc>
        <w:tc>
          <w:tcPr>
            <w:tcW w:type="dxa" w:w="228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ThunderSweepUltimate</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100</w:t>
            </w:r>
          </w:p>
        </w:tc>
        <w:tc>
          <w:tcPr>
            <w:tcW w:type="dxa" w:w="2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指定格子，距离 3，部分能量</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杜林</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贯日炎枪</w:t>
            </w:r>
          </w:p>
        </w:tc>
        <w:tc>
          <w:tcPr>
            <w:tcW w:type="dxa" w:w="228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FlameLanceUltimate</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60</w:t>
            </w:r>
          </w:p>
        </w:tc>
        <w:tc>
          <w:tcPr>
            <w:tcW w:type="dxa" w:w="2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敌方棋子</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哥伦比亚</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潮涌战意</w:t>
            </w:r>
          </w:p>
        </w:tc>
        <w:tc>
          <w:tcPr>
            <w:tcW w:type="dxa" w:w="228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TideSurgeUltimate</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100</w:t>
            </w:r>
          </w:p>
        </w:tc>
        <w:tc>
          <w:tcPr>
            <w:tcW w:type="dxa" w:w="2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自身</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克洛琳德</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雷驰突进</w:t>
            </w:r>
          </w:p>
        </w:tc>
        <w:tc>
          <w:tcPr>
            <w:tcW w:type="dxa" w:w="228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ThunderDashUltimate</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100</w:t>
            </w:r>
          </w:p>
        </w:tc>
        <w:tc>
          <w:tcPr>
            <w:tcW w:type="dxa" w:w="2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指定格子，射线距离 6</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安柏</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兔兔伯爵</w:t>
            </w:r>
          </w:p>
        </w:tc>
        <w:tc>
          <w:tcPr>
            <w:tcW w:type="dxa" w:w="228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BaronBunnyUltimate</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100</w:t>
            </w:r>
          </w:p>
        </w:tc>
        <w:tc>
          <w:tcPr>
            <w:tcW w:type="dxa" w:w="2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指定格子，距离 5</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莫娜</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星异</w:t>
            </w:r>
          </w:p>
        </w:tc>
        <w:tc>
          <w:tcPr>
            <w:tcW w:type="dxa" w:w="228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OmenUltimate</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100</w:t>
            </w:r>
          </w:p>
        </w:tc>
        <w:tc>
          <w:tcPr>
            <w:tcW w:type="dxa" w:w="2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指定格子，距离 5</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爱可菲</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极寒飨宴</w:t>
            </w:r>
          </w:p>
        </w:tc>
        <w:tc>
          <w:tcPr>
            <w:tcW w:type="dxa" w:w="228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FrostFeastUltimate</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100</w:t>
            </w:r>
          </w:p>
        </w:tc>
        <w:tc>
          <w:tcPr>
            <w:tcW w:type="dxa" w:w="2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自身</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雷电将军</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无想一刀</w:t>
            </w:r>
          </w:p>
        </w:tc>
        <w:tc>
          <w:tcPr>
            <w:tcW w:type="dxa" w:w="228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MusouStrikeUltimate</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100</w:t>
            </w:r>
          </w:p>
        </w:tc>
        <w:tc>
          <w:tcPr>
            <w:tcW w:type="dxa" w:w="2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指定格子，距离 3</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甘雨</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霜华贯矢</w:t>
            </w:r>
          </w:p>
        </w:tc>
        <w:tc>
          <w:tcPr>
            <w:tcW w:type="dxa" w:w="228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FrostArrowUltimate</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100</w:t>
            </w:r>
          </w:p>
        </w:tc>
        <w:tc>
          <w:tcPr>
            <w:tcW w:type="dxa" w:w="2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指定格子，距离 6</w:t>
            </w:r>
          </w:p>
        </w:tc>
      </w:tr>
      <w:tr>
        <w:tc>
          <w:tcPr>
            <w:tcW w:type="dxa" w:w="9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兔兔伯爵</w:t>
            </w:r>
          </w:p>
        </w:tc>
        <w:tc>
          <w:tcPr>
            <w:tcW w:type="dxa" w:w="9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无</w:t>
            </w:r>
          </w:p>
        </w:tc>
        <w:tc>
          <w:tcPr>
            <w:tcW w:type="dxa" w:w="2281"/>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无</w:t>
            </w:r>
          </w:p>
        </w:tc>
        <w:tc>
          <w:tcPr>
            <w:tcW w:type="dxa" w:w="9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w:t>
            </w:r>
          </w:p>
        </w:tc>
        <w:tc>
          <w:tcPr>
            <w:tcW w:type="dxa" w:w="25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召唤物，无大招</w:t>
            </w:r>
          </w:p>
        </w:tc>
      </w:tr>
    </w:tbl>
    <w:p>
      <w:pPr>
        <w:spacing w:after="0" w:before="0" w:line="240" w:lineRule="auto"/>
      </w:pPr>
      <w:r>
        <w:rPr>
          <w:rFonts w:ascii="微软雅黑" w:hAnsi="微软雅黑" w:eastAsia="微软雅黑" w:cs="微软雅黑"/>
          <w:b w:val="0"/>
          <w:color w:val="212121"/>
          <w:sz w:val="18"/>
        </w:rPr>
        <w:t>九个可用棋子全部配有大招，仅召唤物兔兔伯爵没有。它的配置块存在但内容为空，属于有配置结构而无有效大招。</w:t>
      </w:r>
    </w:p>
    <w:p>
      <w:pPr>
        <w:spacing w:after="0" w:before="0" w:line="240" w:lineRule="auto"/>
      </w:pPr>
      <w:r>
        <w:rPr>
          <w:rFonts w:ascii="微软雅黑" w:hAnsi="微软雅黑" w:eastAsia="微软雅黑" w:cs="微软雅黑"/>
          <w:b w:val="0"/>
          <w:color w:val="212121"/>
          <w:sz w:val="18"/>
        </w:rPr>
        <w:t>效果类共十一个，上表九个之外还有烈焰斩与冰障两个。这两个类已完整实现但当前没有任何棋子使用，属于已就绪、待分配的设计空间。部分能量消耗接口当前只有菲林斯的大招实现，其余大招均实现了范围声明接口。</w:t>
      </w:r>
    </w:p>
    <w:p>
      <w:bookmarkStart w:id="107" w:name="sec_6_配置与资源"/>
      <w:pPr>
        <w:pStyle w:val="Heading2"/>
        <w:spacing w:after="80" w:before="160" w:line="240" w:lineRule="auto"/>
      </w:pPr>
      <w:r>
        <w:rPr>
          <w:rFonts w:ascii="微软雅黑" w:hAnsi="微软雅黑" w:eastAsia="微软雅黑" w:cs="微软雅黑"/>
          <w:b/>
          <w:color w:val="1A237E"/>
          <w:sz w:val="22"/>
        </w:rPr>
        <w:t>6. 配置与资源</w:t>
      </w:r>
      <w:bookmarkEnd w:id="107"/>
    </w:p>
    <w:tbl>
      <w:tblPr>
        <w:tblW w:type="auto" w:w="0"/>
        <w:jc w:val="center"/>
        <w:tblLook w:firstColumn="1" w:firstRow="1" w:lastColumn="0" w:lastRow="0" w:noHBand="0" w:noVBand="1" w:val="04A0"/>
        <w:tblLayout w:type="fixed"/>
        <w:tblW w:w="6292" w:type="dxa"/>
      </w:tblPr>
      <w:tblGrid>
        <w:gridCol w:w="1526"/>
        <w:gridCol w:w="4766"/>
      </w:tblGrid>
      <w:tr>
        <w:tc>
          <w:tcPr>
            <w:tcW w:type="dxa" w:w="15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配置项</w:t>
            </w:r>
          </w:p>
        </w:tc>
        <w:tc>
          <w:tcPr>
            <w:tcW w:type="dxa" w:w="47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位置</w:t>
            </w:r>
          </w:p>
        </w:tc>
      </w:tr>
      <w:tr>
        <w:tc>
          <w:tcPr>
            <w:tcW w:type="dxa" w:w="15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大招配置</w:t>
            </w:r>
          </w:p>
        </w:tc>
        <w:tc>
          <w:tcPr>
            <w:tcW w:type="dxa" w:w="47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棋子数据的内嵌配置块</w:t>
            </w:r>
          </w:p>
        </w:tc>
      </w:tr>
      <w:tr>
        <w:tc>
          <w:tcPr>
            <w:tcW w:type="dxa" w:w="15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效果实现</w:t>
            </w:r>
          </w:p>
        </w:tc>
        <w:tc>
          <w:tcPr>
            <w:tcW w:type="dxa" w:w="47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大招效果脚本目录下的实现类</w:t>
            </w:r>
          </w:p>
        </w:tc>
      </w:tr>
      <w:tr>
        <w:tc>
          <w:tcPr>
            <w:tcW w:type="dxa" w:w="15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效果创建</w:t>
            </w:r>
          </w:p>
        </w:tc>
        <w:tc>
          <w:tcPr>
            <w:tcW w:type="dxa" w:w="47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由类名映射的工厂方法，非反射</w:t>
            </w:r>
          </w:p>
        </w:tc>
      </w:tr>
      <w:tr>
        <w:tc>
          <w:tcPr>
            <w:tcW w:type="dxa" w:w="15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能量上限与获取</w:t>
            </w:r>
          </w:p>
        </w:tc>
        <w:tc>
          <w:tcPr>
            <w:tcW w:type="dxa" w:w="47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大招配置中的需求、移动增量、攻击增量</w:t>
            </w:r>
          </w:p>
        </w:tc>
      </w:tr>
      <w:tr>
        <w:tc>
          <w:tcPr>
            <w:tcW w:type="dxa" w:w="15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蓄力模型</w:t>
            </w:r>
          </w:p>
        </w:tc>
        <w:tc>
          <w:tcPr>
            <w:tcW w:type="dxa" w:w="47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棋子数据中的启用开关与层数上限</w:t>
            </w:r>
          </w:p>
        </w:tc>
      </w:tr>
      <w:tr>
        <w:tc>
          <w:tcPr>
            <w:tcW w:type="dxa" w:w="15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每回合回能</w:t>
            </w:r>
          </w:p>
        </w:tc>
        <w:tc>
          <w:tcPr>
            <w:tcW w:type="dxa" w:w="47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棋子数据的基础回复值，与装备回能叠加</w:t>
            </w:r>
          </w:p>
        </w:tc>
      </w:tr>
      <w:tr>
        <w:tc>
          <w:tcPr>
            <w:tcW w:type="dxa" w:w="15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元素格</w:t>
            </w:r>
          </w:p>
        </w:tc>
        <w:tc>
          <w:tcPr>
            <w:tcW w:type="dxa" w:w="47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大招配置中的启用开关与持续回合，配合元素格配置资产</w:t>
            </w:r>
          </w:p>
        </w:tc>
      </w:tr>
      <w:tr>
        <w:tc>
          <w:tcPr>
            <w:tcW w:type="dxa" w:w="15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释放表现</w:t>
            </w:r>
          </w:p>
        </w:tc>
        <w:tc>
          <w:tcPr>
            <w:tcW w:type="dxa" w:w="47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全局配置中的扩散光环时长与最大半径</w:t>
            </w:r>
          </w:p>
        </w:tc>
      </w:tr>
    </w:tbl>
    <w:p>
      <w:pPr>
        <w:spacing w:after="0" w:before="0" w:line="240" w:lineRule="auto"/>
      </w:pPr>
      <w:r>
        <w:rPr>
          <w:rFonts w:ascii="微软雅黑" w:hAnsi="微软雅黑" w:eastAsia="微软雅黑" w:cs="微软雅黑"/>
          <w:b w:val="0"/>
          <w:color w:val="212121"/>
          <w:sz w:val="18"/>
        </w:rPr>
        <w:t>新增一个大招的步骤：编写大招效果实现类，在棋子的效果类名字段填入类名，如需参数则填写效果参数字段。无需改动释放流程，因为效果是按类名创建的。</w:t>
      </w:r>
    </w:p>
    <w:p>
      <w:pPr>
        <w:spacing w:after="0" w:before="0" w:line="240" w:lineRule="auto"/>
      </w:pPr>
      <w:r>
        <w:rPr>
          <w:rFonts w:ascii="微软雅黑" w:hAnsi="微软雅黑" w:eastAsia="微软雅黑" w:cs="微软雅黑"/>
          <w:b w:val="0"/>
          <w:color w:val="212121"/>
          <w:sz w:val="18"/>
        </w:rPr>
        <w:t>需要注意的是效果创建是显式的类名映射而非反射，因此新增效果类必须同时在映射中登记。未登记时创建返回空，释放被中止且不消耗任何资源，同时输出一次告警。</w:t>
      </w:r>
    </w:p>
    <w:p>
      <w:bookmarkStart w:id="108" w:name="sec_7_边界与异常"/>
      <w:pPr>
        <w:pStyle w:val="Heading2"/>
        <w:spacing w:after="80" w:before="160" w:line="240" w:lineRule="auto"/>
      </w:pPr>
      <w:r>
        <w:rPr>
          <w:rFonts w:ascii="微软雅黑" w:hAnsi="微软雅黑" w:eastAsia="微软雅黑" w:cs="微软雅黑"/>
          <w:b/>
          <w:color w:val="1A237E"/>
          <w:sz w:val="22"/>
        </w:rPr>
        <w:t>7. 边界与异常</w:t>
      </w:r>
      <w:bookmarkEnd w:id="108"/>
    </w:p>
    <w:tbl>
      <w:tblPr>
        <w:tblW w:type="auto" w:w="0"/>
        <w:jc w:val="center"/>
        <w:tblLook w:firstColumn="1" w:firstRow="1" w:lastColumn="0" w:lastRow="0" w:noHBand="0" w:noVBand="1" w:val="04A0"/>
        <w:tblLayout w:type="fixed"/>
        <w:tblW w:w="6652" w:type="dxa"/>
      </w:tblPr>
      <w:tblGrid>
        <w:gridCol w:w="2966"/>
        <w:gridCol w:w="3686"/>
      </w:tblGrid>
      <w:tr>
        <w:tc>
          <w:tcPr>
            <w:tcW w:type="dxa" w:w="29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场景</w:t>
            </w:r>
          </w:p>
        </w:tc>
        <w:tc>
          <w:tcPr>
            <w:tcW w:type="dxa" w:w="36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期望行为</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能量未满时尝试释放</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拒绝，界面禁用释放入口</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蓄力层数为零时尝试释放</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拒绝</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满能但行动点不足</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拒绝，且不消耗能量</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效果类名未登记</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中止释放，不消耗能量与行动点，输出告警</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指定格子模式的目标距离为零或负</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无可选格，无法释放</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射线模式点中被占据的格子</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自然取消</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启用元素格但未实现范围声明</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不替换并告警一次</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启用元素格但释放者先天元素为空</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不做替换</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范围声明为空</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不做替换</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未实现部分能量消耗接口</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走满能全清路径</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部分能量消耗返回非正值</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保持满能，不消耗</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能量超过上限</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增加操作自动封顶</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释放者在大招中位移</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范围声明在位移前完成，替换在结算后完成</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大招击杀目标</w:t>
            </w:r>
          </w:p>
        </w:tc>
        <w:tc>
          <w:tcPr>
            <w:tcW w:type="dxa" w:w="36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目标死亡流程正常触发</w:t>
            </w:r>
          </w:p>
        </w:tc>
      </w:tr>
      <w:tr>
        <w:tc>
          <w:tcPr>
            <w:tcW w:type="dxa" w:w="29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无大招的棋子</w:t>
            </w:r>
          </w:p>
        </w:tc>
        <w:tc>
          <w:tcPr>
            <w:tcW w:type="dxa" w:w="36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不显示释放入口</w:t>
            </w:r>
          </w:p>
        </w:tc>
      </w:tr>
    </w:tbl>
    <w:p>
      <w:pPr>
        <w:spacing w:after="0" w:before="0" w:line="240" w:lineRule="auto"/>
      </w:pPr>
      <w:r>
        <w:rPr>
          <w:rFonts w:ascii="微软雅黑" w:hAnsi="微软雅黑" w:eastAsia="微软雅黑" w:cs="微软雅黑"/>
          <w:b w:val="0"/>
          <w:color w:val="212121"/>
          <w:sz w:val="18"/>
        </w:rPr>
        <w:t>告警与中止的组合保证了配置错误不会产生副作用：类名错误时既不扣能量也不扣行动点，玩家不会因配置问题白白损失资源。</w:t>
      </w:r>
    </w:p>
    <w:p>
      <w:bookmarkStart w:id="109" w:name="sec_8_美术与_UI_需求"/>
      <w:pPr>
        <w:pStyle w:val="Heading2"/>
        <w:spacing w:after="80" w:before="160" w:line="240" w:lineRule="auto"/>
      </w:pPr>
      <w:r>
        <w:rPr>
          <w:rFonts w:ascii="微软雅黑" w:hAnsi="微软雅黑" w:eastAsia="微软雅黑" w:cs="微软雅黑"/>
          <w:b/>
          <w:color w:val="1A237E"/>
          <w:sz w:val="22"/>
        </w:rPr>
        <w:t>8. 美术与 UI 需求</w:t>
      </w:r>
      <w:bookmarkEnd w:id="109"/>
    </w:p>
    <w:tbl>
      <w:tblPr>
        <w:tblW w:type="auto" w:w="0"/>
        <w:jc w:val="center"/>
        <w:tblLook w:firstColumn="1" w:firstRow="1" w:lastColumn="0" w:lastRow="0" w:noHBand="0" w:noVBand="1" w:val="04A0"/>
        <w:tblLayout w:type="fixed"/>
        <w:tblW w:w="6378" w:type="dxa"/>
      </w:tblPr>
      <w:tblGrid>
        <w:gridCol w:w="1346"/>
        <w:gridCol w:w="4406"/>
        <w:gridCol w:w="626"/>
      </w:tblGrid>
      <w:tr>
        <w:tc>
          <w:tcPr>
            <w:tcW w:type="dxa" w:w="134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需求点</w:t>
            </w:r>
          </w:p>
        </w:tc>
        <w:tc>
          <w:tcPr>
            <w:tcW w:type="dxa" w:w="440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详情</w:t>
            </w:r>
          </w:p>
        </w:tc>
        <w:tc>
          <w:tcPr>
            <w:tcW w:type="dxa" w:w="6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状态</w:t>
            </w:r>
          </w:p>
        </w:tc>
      </w:tr>
      <w:tr>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能量显示</w:t>
            </w:r>
          </w:p>
        </w:tc>
        <w:tc>
          <w:tcPr>
            <w:tcW w:type="dxa" w:w="44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棋子状态面板上的能量条，并显示数值与能否释放</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满能提示</w:t>
            </w:r>
          </w:p>
        </w:tc>
        <w:tc>
          <w:tcPr>
            <w:tcW w:type="dxa" w:w="44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满能时能量条转为金色，未满时保持蓝色</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蓄力层数显示</w:t>
            </w:r>
          </w:p>
        </w:tc>
        <w:tc>
          <w:tcPr>
            <w:tcW w:type="dxa" w:w="44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甘雨以层数替代能量条</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待定</w:t>
            </w:r>
          </w:p>
        </w:tc>
      </w:tr>
      <w:tr>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释放扩散光环</w:t>
            </w:r>
          </w:p>
        </w:tc>
        <w:tc>
          <w:tcPr>
            <w:tcW w:type="dxa" w:w="44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释放者脚下播放扩散圈，时长与半径由全局配置给出</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元素格表现</w:t>
            </w:r>
          </w:p>
        </w:tc>
        <w:tc>
          <w:tcPr>
            <w:tcW w:type="dxa" w:w="44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作用范围内的格子材质替换为对应元素</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134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大招名提示</w:t>
            </w:r>
          </w:p>
        </w:tc>
        <w:tc>
          <w:tcPr>
            <w:tcW w:type="dxa" w:w="440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释放时是否展示大招名</w:t>
            </w:r>
          </w:p>
        </w:tc>
        <w:tc>
          <w:tcPr>
            <w:tcW w:type="dxa" w:w="6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待定</w:t>
            </w:r>
          </w:p>
        </w:tc>
      </w:tr>
    </w:tbl>
    <w:p>
      <w:pPr>
        <w:spacing w:after="0" w:before="0" w:line="240" w:lineRule="auto"/>
      </w:pPr>
      <w:r>
        <w:rPr>
          <w:rFonts w:ascii="微软雅黑" w:hAnsi="微软雅黑" w:eastAsia="微软雅黑" w:cs="微软雅黑"/>
          <w:b w:val="0"/>
          <w:color w:val="212121"/>
          <w:sz w:val="18"/>
        </w:rPr>
        <w:t>满能配色是界面反馈的关键：金色与蓝色形成明确的状态区分，玩家无需读取数字即可判断能否释放。扩散光环是释放仪式感的载体，它是玩家区分"这一下是大招"与"这一下是普攻"的主要视觉依据。</w:t>
      </w:r>
    </w:p>
    <w:p>
      <w:bookmarkStart w:id="110" w:name="sec_9_迭代与验收"/>
      <w:pPr>
        <w:pStyle w:val="Heading2"/>
        <w:spacing w:after="80" w:before="160" w:line="240" w:lineRule="auto"/>
      </w:pPr>
      <w:r>
        <w:rPr>
          <w:rFonts w:ascii="微软雅黑" w:hAnsi="微软雅黑" w:eastAsia="微软雅黑" w:cs="微软雅黑"/>
          <w:b/>
          <w:color w:val="1A237E"/>
          <w:sz w:val="22"/>
        </w:rPr>
        <w:t>9. 迭代与验收</w:t>
      </w:r>
      <w:bookmarkEnd w:id="110"/>
    </w:p>
    <w:tbl>
      <w:tblPr>
        <w:tblW w:type="auto" w:w="0"/>
        <w:jc w:val="center"/>
        <w:tblLook w:firstColumn="1" w:firstRow="1" w:lastColumn="0" w:lastRow="0" w:noHBand="0" w:noVBand="1" w:val="04A0"/>
        <w:tblLayout w:type="fixed"/>
        <w:tblW w:w="6472" w:type="dxa"/>
      </w:tblPr>
      <w:tblGrid>
        <w:gridCol w:w="4046"/>
        <w:gridCol w:w="2426"/>
      </w:tblGrid>
      <w:tr>
        <w:tc>
          <w:tcPr>
            <w:tcW w:type="dxa" w:w="404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功能</w:t>
            </w:r>
          </w:p>
        </w:tc>
        <w:tc>
          <w:tcPr>
            <w:tcW w:type="dxa" w:w="24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状态</w:t>
            </w:r>
          </w:p>
        </w:tc>
      </w:tr>
      <w:tr>
        <w:tc>
          <w:tcPr>
            <w:tcW w:type="dxa" w:w="40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能量模型（获取、封顶、满能判定、按量消耗）</w:t>
            </w:r>
          </w:p>
        </w:tc>
        <w:tc>
          <w:tcPr>
            <w:tcW w:type="dxa" w:w="24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40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蓄力模型（层数累积、清零、上限钳制）</w:t>
            </w:r>
          </w:p>
        </w:tc>
        <w:tc>
          <w:tcPr>
            <w:tcW w:type="dxa" w:w="24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40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三类目标模式</w:t>
            </w:r>
          </w:p>
        </w:tc>
        <w:tc>
          <w:tcPr>
            <w:tcW w:type="dxa" w:w="24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40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两种格子高亮形状</w:t>
            </w:r>
          </w:p>
        </w:tc>
        <w:tc>
          <w:tcPr>
            <w:tcW w:type="dxa" w:w="24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完成，射线形状尚无使用者</w:t>
            </w:r>
          </w:p>
        </w:tc>
      </w:tr>
      <w:tr>
        <w:tc>
          <w:tcPr>
            <w:tcW w:type="dxa" w:w="40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部分能量消耗</w:t>
            </w:r>
          </w:p>
        </w:tc>
        <w:tc>
          <w:tcPr>
            <w:tcW w:type="dxa" w:w="24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40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元素格范围声明与统一替换</w:t>
            </w:r>
          </w:p>
        </w:tc>
        <w:tc>
          <w:tcPr>
            <w:tcW w:type="dxa" w:w="24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40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大招效果工厂（类名映射）</w:t>
            </w:r>
          </w:p>
        </w:tc>
        <w:tc>
          <w:tcPr>
            <w:tcW w:type="dxa" w:w="24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40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十一个大招效果类</w:t>
            </w:r>
          </w:p>
        </w:tc>
        <w:tc>
          <w:tcPr>
            <w:tcW w:type="dxa" w:w="24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九个已配棋子，两个待分配</w:t>
            </w:r>
          </w:p>
        </w:tc>
      </w:tr>
      <w:tr>
        <w:tc>
          <w:tcPr>
            <w:tcW w:type="dxa" w:w="40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释放扩散表现</w:t>
            </w:r>
          </w:p>
        </w:tc>
        <w:tc>
          <w:tcPr>
            <w:tcW w:type="dxa" w:w="24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404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每回合回能与装备回能叠加</w:t>
            </w:r>
          </w:p>
        </w:tc>
        <w:tc>
          <w:tcPr>
            <w:tcW w:type="dxa" w:w="24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bl>
    <w:p>
      <w:bookmarkStart w:id="111" w:name="sec_待确认"/>
      <w:pPr>
        <w:pStyle w:val="Heading3"/>
        <w:spacing w:after="60" w:before="120" w:line="240" w:lineRule="auto"/>
      </w:pPr>
      <w:r>
        <w:rPr>
          <w:rFonts w:ascii="微软雅黑" w:hAnsi="微软雅黑" w:eastAsia="微软雅黑" w:cs="微软雅黑"/>
          <w:b/>
          <w:color w:val="1A237E"/>
          <w:sz w:val="20"/>
        </w:rPr>
        <w:t>待确认</w:t>
      </w:r>
      <w:bookmarkEnd w:id="111"/>
    </w:p>
    <w:tbl>
      <w:tblPr>
        <w:tblW w:type="auto" w:w="0"/>
        <w:jc w:val="center"/>
        <w:tblLook w:firstColumn="1" w:firstRow="1" w:lastColumn="0" w:lastRow="0" w:noHBand="0" w:noVBand="1" w:val="04A0"/>
        <w:tblLayout w:type="fixed"/>
        <w:tblW w:w="6472" w:type="dxa"/>
      </w:tblPr>
      <w:tblGrid>
        <w:gridCol w:w="1886"/>
        <w:gridCol w:w="4586"/>
      </w:tblGrid>
      <w:tr>
        <w:tc>
          <w:tcPr>
            <w:tcW w:type="dxa" w:w="18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事项</w:t>
            </w:r>
          </w:p>
        </w:tc>
        <w:tc>
          <w:tcPr>
            <w:tcW w:type="dxa" w:w="45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说明</w:t>
            </w:r>
          </w:p>
        </w:tc>
      </w:tr>
      <w:tr>
        <w:tc>
          <w:tcPr>
            <w:tcW w:type="dxa" w:w="18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大招节奏是否合适</w:t>
            </w:r>
          </w:p>
        </w:tc>
        <w:tc>
          <w:tcPr>
            <w:tcW w:type="dxa" w:w="4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约四回合满能，需实机确认偏频繁还是偏稀少</w:t>
            </w:r>
          </w:p>
        </w:tc>
      </w:tr>
      <w:tr>
        <w:tc>
          <w:tcPr>
            <w:tcW w:type="dxa" w:w="18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蓄力层数的获取节奏</w:t>
            </w:r>
          </w:p>
        </w:tc>
        <w:tc>
          <w:tcPr>
            <w:tcW w:type="dxa" w:w="4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层数上限为三，普攻累积速度是否匹配狙击定位</w:t>
            </w:r>
          </w:p>
        </w:tc>
      </w:tr>
      <w:tr>
        <w:tc>
          <w:tcPr>
            <w:tcW w:type="dxa" w:w="18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甘雨的层数显示</w:t>
            </w:r>
          </w:p>
        </w:tc>
        <w:tc>
          <w:tcPr>
            <w:tcW w:type="dxa" w:w="4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表现层方案待定</w:t>
            </w:r>
          </w:p>
        </w:tc>
      </w:tr>
      <w:tr>
        <w:tc>
          <w:tcPr>
            <w:tcW w:type="dxa" w:w="18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大招名是否展示</w:t>
            </w:r>
          </w:p>
        </w:tc>
        <w:tc>
          <w:tcPr>
            <w:tcW w:type="dxa" w:w="4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目前只有扩散光环，是否加名称提示待定</w:t>
            </w:r>
          </w:p>
        </w:tc>
      </w:tr>
      <w:tr>
        <w:tc>
          <w:tcPr>
            <w:tcW w:type="dxa" w:w="18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射线形状的使用者</w:t>
            </w:r>
          </w:p>
        </w:tc>
        <w:tc>
          <w:tcPr>
            <w:tcW w:type="dxa" w:w="4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已实现但无棋子使用，是否分配给新棋子待定</w:t>
            </w:r>
          </w:p>
        </w:tc>
      </w:tr>
      <w:tr>
        <w:tc>
          <w:tcPr>
            <w:tcW w:type="dxa" w:w="18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两个待分配效果类</w:t>
            </w:r>
          </w:p>
        </w:tc>
        <w:tc>
          <w:tcPr>
            <w:tcW w:type="dxa" w:w="45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烈焰斩与冰障已实现，待分配给新棋子或改造现有棋子</w:t>
            </w:r>
          </w:p>
        </w:tc>
      </w:tr>
    </w:tbl>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微软雅黑" w:hAnsi="微软雅黑" w:eastAsia="微软雅黑" w:cs="微软雅黑"/>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40" w:lineRule="auto"/>
      <w:outlineLvl w:val="0"/>
    </w:pPr>
    <w:rPr>
      <w:rFonts w:asciiTheme="majorHAnsi" w:eastAsiaTheme="majorEastAsia" w:hAnsiTheme="majorHAnsi" w:cstheme="majorBidi" w:ascii="微软雅黑" w:hAnsi="微软雅黑" w:eastAsia="微软雅黑" w:cs="微软雅黑"/>
      <w:b/>
      <w:bCs/>
      <w:color w:val="1A237E"/>
      <w:sz w:val="40"/>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微软雅黑" w:hAnsi="微软雅黑" w:eastAsia="微软雅黑" w:cs="微软雅黑"/>
      <w:b/>
      <w:bCs/>
      <w:color w:val="1A237E"/>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微软雅黑" w:hAnsi="微软雅黑" w:eastAsia="微软雅黑" w:cs="微软雅黑"/>
      <w:b/>
      <w:bCs/>
      <w:color w:val="1A237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ChaoticChess_&#39033;&#30446;&#24635;&#31574;&#21010;&#26696;.docx" TargetMode="Externa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