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29" w:name="sec_09_棋子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09 棋子</w:t>
      </w:r>
      <w:bookmarkEnd w:id="29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Chaotic Chess 系统分册。全局背景与设计支柱见《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bookmarkStart w:id="30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3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59" w:type="dxa"/>
      </w:tblPr>
      <w:tblGrid>
        <w:gridCol w:w="806"/>
        <w:gridCol w:w="1266"/>
        <w:gridCol w:w="4081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2026-08-19</w:t>
            </w:r>
          </w:p>
        </w:tc>
        <w:tc>
          <w:tcPr>
            <w:tcW w:type="dxa" w:w="4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建立棋子数据结构，完成首批 9 名棋子内容录入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v1.1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2026-08-19</w:t>
            </w:r>
          </w:p>
        </w:tc>
        <w:tc>
          <w:tcPr>
            <w:tcW w:type="dxa" w:w="4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范围配置内联重构，棋子与范围解耦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v1.2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2026-08-19</w:t>
            </w:r>
          </w:p>
        </w:tc>
        <w:tc>
          <w:tcPr>
            <w:tcW w:type="dxa" w:w="4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引入菲林斯部分消耗模型，完善蓄力系统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v1.3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2026-09-13</w:t>
            </w:r>
          </w:p>
        </w:tc>
        <w:tc>
          <w:tcPr>
            <w:tcW w:type="dxa" w:w="4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补充棋子动作与受击表现接口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0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按系统策划案规范重写，补齐边界与迭代规划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1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1"/>
    </w:p>
    <w:p>
      <w:bookmarkStart w:id="32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3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战棋的输出上限不取决于"谁的血厚"，而取决于</w:t>
      </w:r>
      <w:r>
        <w:rPr>
          <w:rFonts w:ascii="微软雅黑" w:hAnsi="微软雅黑" w:eastAsia="微软雅黑" w:cs="微软雅黑"/>
          <w:b/>
          <w:color w:val="212121"/>
          <w:sz w:val="18"/>
        </w:rPr>
        <w:t>上场阵容能不能互相咬合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。本系统的目的是：把阵容搭配从"选四个最强的"变成"选四个最合的"。</w:t>
      </w:r>
    </w:p>
    <w:p>
      <w:bookmarkStart w:id="33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3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12" w:type="dxa"/>
      </w:tblPr>
      <w:tblGrid>
        <w:gridCol w:w="1346"/>
        <w:gridCol w:w="566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定位一眼可读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玩家看数值就能判断"这是输出还是坦克"，不需要查攻略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组合有讲究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元素不同、大招类型不同，会派生出完全不同的推进节奏与站位思路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上场前可规划</w:t>
            </w:r>
          </w:p>
        </w:tc>
        <w:tc>
          <w:tcPr>
            <w:tcW w:type="dxa" w:w="56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在开局前完成阵容规划，而不是进了棋盘再想"带谁好"</w:t>
            </w:r>
          </w:p>
        </w:tc>
      </w:tr>
    </w:tbl>
    <w:p>
      <w:bookmarkStart w:id="34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3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棋子是全局所有战斗系统的数据源头：伤害计算读取攻击与防御，元素反应读取先天元素，范围系统读取移动与攻击配置，大招系统读取能量与效果配置。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874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棋子自身不做任何计算，它只提供规则与参数。这意味着"调整一名棋子的手感"永远只改一处配置。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下游系统详见《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05_伤害计算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06_元素反应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》《</w:t>
      </w:r>
      <w:hyperlink r:id="rId13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02_范围与空间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》《</w:t>
      </w:r>
      <w:hyperlink r:id="rId14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07_大招与能量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》。</w:t>
      </w:r>
    </w:p>
    <w:p>
      <w:bookmarkStart w:id="35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3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662" w:type="dxa"/>
      </w:tblPr>
      <w:tblGrid>
        <w:gridCol w:w="986"/>
        <w:gridCol w:w="667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6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先天元素</w:t>
            </w:r>
          </w:p>
        </w:tc>
        <w:tc>
          <w:tcPr>
            <w:tcW w:type="dxa" w:w="6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棋子出厂自带、不依赖装备与城邦的元素属性，决定它能触发哪些元素反应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内建被动</w:t>
            </w:r>
          </w:p>
        </w:tc>
        <w:tc>
          <w:tcPr>
            <w:tcW w:type="dxa" w:w="6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棋子自带的被动效果，在场且在生时生效，死亡后失效。详见《</w:t>
            </w:r>
            <w:hyperlink r:id="rId15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10_被动与装备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</w:t>
            </w:r>
          </w:p>
        </w:tc>
        <w:tc>
          <w:tcPr>
            <w:tcW w:type="dxa" w:w="6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由大招生成的非角色单位，不占棋池、不参与胜负判定口径、不放大招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蓄力系统</w:t>
            </w:r>
          </w:p>
        </w:tc>
        <w:tc>
          <w:tcPr>
            <w:tcW w:type="dxa" w:w="6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甘雨专用的替代资源：不攒能量，改叠蓄力层数驱动大招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目标模式</w:t>
            </w:r>
          </w:p>
        </w:tc>
        <w:tc>
          <w:tcPr>
            <w:tcW w:type="dxa" w:w="66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大招的指定方式，分敌方单位、自身、指定格子三类</w:t>
            </w:r>
          </w:p>
        </w:tc>
      </w:tr>
    </w:tbl>
    <w:p>
      <w:bookmarkStart w:id="36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36"/>
    </w:p>
    <w:p>
      <w:bookmarkStart w:id="37" w:name="sec_3_1_阵容的确定流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阵容的确定流程</w:t>
      </w:r>
      <w:bookmarkEnd w:id="37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550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阵容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选子与部署都在开战前一次完成，局中不再补员，这是"开局即定阵容"的前提。棋池的解锁范围由《</w:t>
      </w:r>
      <w:hyperlink r:id="rId17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17_玩家档案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》决定。</w:t>
      </w:r>
    </w:p>
    <w:p>
      <w:bookmarkStart w:id="38" w:name="sec_3_2_棋子属性与作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棋子属性与作用</w:t>
      </w:r>
      <w:bookmarkEnd w:id="38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58" w:type="dxa"/>
      </w:tblPr>
      <w:tblGrid>
        <w:gridCol w:w="986"/>
        <w:gridCol w:w="1886"/>
        <w:gridCol w:w="278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作用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玩家决策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承受伤害的上限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决定它敢不敢站到前线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伤害公式的基础项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决定它值不值得吃资源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伤害公式的减法项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决定它面对物理输出的生存能力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先天元素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决定可触发的反应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决定它与队友的元素配合方向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移动范围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每回合能抵达的区域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决定它的支援半径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攻击范围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能打到哪些格子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决定它的安全站位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</w:t>
            </w:r>
          </w:p>
        </w:tc>
        <w:tc>
          <w:tcPr>
            <w:tcW w:type="dxa" w:w="18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爆发手段与目标模式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决定阵容的胜负手在哪一刻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防御在设计中不做主要差异化手段：全池仅菲林斯为 10，其余为 5。差异由生命、攻击、元素、范围与大招承担，防御只作为伤害公式的减法项存在。</w:t>
      </w:r>
    </w:p>
    <w:p>
      <w:bookmarkStart w:id="39" w:name="sec_3_3_召唤物规则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召唤物规则</w:t>
      </w:r>
      <w:bookmarkEnd w:id="3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召唤物由大招生成，行为受三条约束：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932" w:type="dxa"/>
      </w:tblPr>
      <w:tblGrid>
        <w:gridCol w:w="1346"/>
        <w:gridCol w:w="458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不可摧毁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生命值极高，设计上保证在场期间不会被常规输出清除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不参与胜负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只统计角色棋子的存活数量，召唤物不计入全灭判定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不可选入棋池</w:t>
            </w:r>
          </w:p>
        </w:tc>
        <w:tc>
          <w:tcPr>
            <w:tcW w:type="dxa" w:w="45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玩家永远无法把召唤物编入阵容，它只能由大招产生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召唤物的战术价值在于站位压制：它在场时，范围内的敌方棋子被迫把攻击打在它身上，为己方争取一个回合的节奏。</w:t>
      </w:r>
    </w:p>
    <w:p>
      <w:bookmarkStart w:id="40" w:name="sec_3_4_蓄力系统_甘雨专用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蓄力系统（甘雨专用）</w:t>
      </w:r>
      <w:bookmarkEnd w:id="4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甘雨不攒能量，改为叠加蓄力层数：层数上限 3，普攻命中累积层数，层数达到 1 即可释放大招。这套模型把该棋子从"等能量"改成"找输出机会"，与它的远程狙击定位一致。</w:t>
      </w:r>
    </w:p>
    <w:p>
      <w:bookmarkStart w:id="41" w:name="sec_3_5_大招的资源模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3.5 大招的资源模型</w:t>
      </w:r>
      <w:bookmarkEnd w:id="41"/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1836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大招模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58" w:type="dxa"/>
      </w:tblPr>
      <w:tblGrid>
        <w:gridCol w:w="986"/>
        <w:gridCol w:w="1346"/>
        <w:gridCol w:w="51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模型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适用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机制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能量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绝大多数棋子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移动与攻击累积能量，达阈值释放并清空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普攻叠层，达 1 层可释放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部分消耗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  <w:tc>
          <w:tcPr>
            <w:tcW w:type="dxa" w:w="51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能量满后释放只消耗一半，剩余保留，形成可连发的强化节奏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每名棋子的大招能量阈值独立配置，不设全局统一值，目的是让不同棋子拥有不同的爆发频率。</w:t>
      </w:r>
    </w:p>
    <w:p>
      <w:bookmarkStart w:id="42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42"/>
    </w:p>
    <w:p>
      <w:bookmarkStart w:id="43" w:name="sec_4_1_基础属性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基础属性</w:t>
      </w:r>
      <w:bookmarkEnd w:id="4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386" w:type="dxa"/>
      </w:tblPr>
      <w:tblGrid>
        <w:gridCol w:w="476"/>
        <w:gridCol w:w="986"/>
        <w:gridCol w:w="686"/>
        <w:gridCol w:w="626"/>
        <w:gridCol w:w="626"/>
        <w:gridCol w:w="986"/>
      </w:tblGrid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先天元素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杜林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哥伦比亚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克洛琳德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安柏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火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14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兔兔伯爵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9999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莫娜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水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16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爱可菲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17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雷电将军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85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18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</w:t>
            </w:r>
          </w:p>
        </w:tc>
        <w:tc>
          <w:tcPr>
            <w:tcW w:type="dxa" w:w="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80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冰</w:t>
            </w:r>
          </w:p>
        </w:tc>
      </w:tr>
    </w:tbl>
    <w:p>
      <w:bookmarkStart w:id="44" w:name="sec_4_2_范围与大招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范围与大招</w:t>
      </w:r>
      <w:bookmarkEnd w:id="4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386" w:type="dxa"/>
      </w:tblPr>
      <w:tblGrid>
        <w:gridCol w:w="476"/>
        <w:gridCol w:w="986"/>
        <w:gridCol w:w="1146"/>
        <w:gridCol w:w="806"/>
        <w:gridCol w:w="986"/>
        <w:gridCol w:w="986"/>
      </w:tblGrid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目标模式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4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2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雷殛横光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杜林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3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直线 3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贯日炎枪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敌方单位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哥伦比亚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奇偶 4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区域 2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潮涌战意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自身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克洛琳德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直线穿越 4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1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雷驰突进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安柏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3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4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兔兔伯爵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14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兔兔伯爵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不可移动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不攻击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15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莫娜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飞行 3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4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星异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16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爱可菲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3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3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极寒饗宴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自身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17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雷电将军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3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3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无想一刀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指定格</w:t>
            </w:r>
          </w:p>
        </w:tc>
      </w:tr>
      <w:tr>
        <w:tc>
          <w:tcPr>
            <w:tcW w:type="dxa" w:w="4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18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甘雨</w:t>
            </w:r>
          </w:p>
        </w:tc>
        <w:tc>
          <w:tcPr>
            <w:tcW w:type="dxa" w:w="1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3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4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霜华贯矢</w:t>
            </w:r>
          </w:p>
        </w:tc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指定格</w:t>
            </w:r>
          </w:p>
        </w:tc>
      </w:tr>
    </w:tbl>
    <w:p>
      <w:bookmarkStart w:id="45" w:name="sec_4_3_定位分档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定位分档</w:t>
      </w:r>
      <w:bookmarkEnd w:id="4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098" w:type="dxa"/>
      </w:tblPr>
      <w:tblGrid>
        <w:gridCol w:w="626"/>
        <w:gridCol w:w="866"/>
        <w:gridCol w:w="260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档位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生命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坦克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9999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兔兔伯爵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120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哥伦比亚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菲林斯、杜林、克洛琳德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低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90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爱可菲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脆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85、80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雷电将军、安柏、莫娜、甘雨</w:t>
            </w:r>
          </w:p>
        </w:tc>
      </w:tr>
    </w:tbl>
    <w:p>
      <w:pPr>
        <w:spacing w:after="0" w:before="0" w:line="120" w:lineRule="exact"/>
      </w:pPr>
      <w:r>
        <w:rPr>
          <w:rFonts w:ascii="微软雅黑" w:hAnsi="微软雅黑" w:eastAsia="微软雅黑" w:cs="微软雅黑"/>
          <w:b w:val="0"/>
          <w:color w:val="212121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278" w:type="dxa"/>
      </w:tblPr>
      <w:tblGrid>
        <w:gridCol w:w="626"/>
        <w:gridCol w:w="866"/>
        <w:gridCol w:w="2786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档位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最高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高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杜林、克洛琳德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13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雷电将军、甘雨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低</w:t>
            </w:r>
          </w:p>
        </w:tc>
        <w:tc>
          <w:tcPr>
            <w:tcW w:type="dxa" w:w="8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12、10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安柏、莫娜、爱可菲、哥伦比亚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生命与攻击刻意做成反向分布：攻击最高的菲林斯生命属于中档偏脆，生命最高的哥伦比亚攻击垫底。这套结构保证了任何一名棋子都有明显短板，不存在"无取舍的强子"。</w:t>
      </w:r>
    </w:p>
    <w:p>
      <w:bookmarkStart w:id="46" w:name="sec_4_4_演算示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演算示例</w:t>
      </w:r>
      <w:bookmarkEnd w:id="46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演算示例：菲林斯普攻打在防御 5 的哥伦比亚身上。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基础伤害 = 攻击 30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减防御 = 30 − 5 = 25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757575"/>
          <w:sz w:val="16"/>
        </w:rPr>
        <w:t>种族克制、元素反应、装备加成在此之上再叠加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菲林斯攻击 30 是全池最高，代价是它同时拥有最高的防御 10 与中档生命。这两项"超额"由它的大招雷殛横光的部分消耗模型（释放只耗一半能量）来平衡，形成"高配但依赖爆发节奏"的定位。完整公式见《</w:t>
      </w:r>
      <w:hyperlink r:id="rId11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05_伤害计算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》。</w:t>
      </w:r>
    </w:p>
    <w:p>
      <w:bookmarkStart w:id="47" w:name="sec_4_5_数值边界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4.5 数值边界</w:t>
      </w:r>
      <w:bookmarkEnd w:id="47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攻击下限受伤害公式的保底 1 点保护，低攻棋子不会出现"完全打不动"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生命最低 80，最高 9999（召唤物），常规棋子区间 80~120</w:t>
      </w:r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大招能量阈值 60~100，杜林 60 为特例，其余为 100</w:t>
      </w:r>
    </w:p>
    <w:p>
      <w:bookmarkStart w:id="48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48"/>
    </w:p>
    <w:p>
      <w:bookmarkStart w:id="49" w:name="sec_5_1_棋子配置_ScriptableObject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棋子配置（ScriptableObject）</w:t>
      </w:r>
      <w:bookmarkEnd w:id="4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路径：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Assets/Game/Piece/Data/*.asset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，由 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>PieceRegistry</w:t>
      </w:r>
      <w:r>
        <w:rPr>
          <w:rFonts w:ascii="微软雅黑" w:hAnsi="微软雅黑" w:eastAsia="微软雅黑" w:cs="微软雅黑"/>
          <w:b w:val="0"/>
          <w:color w:val="212121"/>
          <w:sz w:val="18"/>
        </w:rPr>
        <w:t xml:space="preserve"> 统一注册。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430" w:type="dxa"/>
      </w:tblPr>
      <w:tblGrid>
        <w:gridCol w:w="1166"/>
        <w:gridCol w:w="1881"/>
        <w:gridCol w:w="1581"/>
        <w:gridCol w:w="1996"/>
        <w:gridCol w:w="80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字段英文名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注释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棋子编号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id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注册表查找键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显示名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displayName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string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界面显示名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菲林斯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最大生命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maxHP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100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攻击力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伤害公式基础项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30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防御力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defense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伤害公式减法项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每回合回能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baseEnergyRegen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全员为 0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每回合回血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baseHPRegen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全员为 0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移动配置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moveConfig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RangeConfig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02_范围与空间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自由 3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攻击配置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attackConfig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RangeConfig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3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02_范围与空间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圆形 2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先天元素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innateElement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ElementType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决定附着与反应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雷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是否召唤物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isSummon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影响棋池与胜负口径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内建被动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builtInPassives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PassiveConfig[]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5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10_被动与装备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大招配置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ultimateConfig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UltimateConfig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4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07_大招与能量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蓄力系统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usesChargeSystem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仅甘雨为真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蓄力上限</w:t>
            </w:r>
          </w:p>
        </w:tc>
        <w:tc>
          <w:tcPr>
            <w:tcW w:type="dxa" w:w="18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maxChargeStacks</w:t>
            </w:r>
          </w:p>
        </w:tc>
        <w:tc>
          <w:tcPr>
            <w:tcW w:type="dxa" w:w="15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19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层数上限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</w:tr>
    </w:tbl>
    <w:p>
      <w:bookmarkStart w:id="50" w:name="sec_5_2_大招配置_内嵌于棋子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大招配置（内嵌于棋子）</w:t>
      </w:r>
      <w:bookmarkEnd w:id="5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关键字段：大招名、能量阈值、效果类名、效果参数、目标模式、是否生成元素格。</w:t>
      </w:r>
    </w:p>
    <w:p>
      <w:bookmarkStart w:id="51" w:name="sec_5_3_枚举取值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枚举取值</w:t>
      </w:r>
      <w:bookmarkEnd w:id="5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712" w:type="dxa"/>
      </w:tblPr>
      <w:tblGrid>
        <w:gridCol w:w="986"/>
        <w:gridCol w:w="27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枚举</w:t>
            </w:r>
          </w:p>
        </w:tc>
        <w:tc>
          <w:tcPr>
            <w:tcW w:type="dxa" w:w="27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取值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先天元素</w:t>
            </w:r>
          </w:p>
        </w:tc>
        <w:tc>
          <w:tcPr>
            <w:tcW w:type="dxa" w:w="27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 无、1 火、2 水、3 雷、4 冰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目标模式</w:t>
            </w:r>
          </w:p>
        </w:tc>
        <w:tc>
          <w:tcPr>
            <w:tcW w:type="dxa" w:w="27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 敌方单位、1 自身、2 指定格</w:t>
            </w:r>
          </w:p>
        </w:tc>
      </w:tr>
    </w:tbl>
    <w:p>
      <w:bookmarkStart w:id="52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5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622" w:type="dxa"/>
      </w:tblPr>
      <w:tblGrid>
        <w:gridCol w:w="1526"/>
        <w:gridCol w:w="409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4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棋子数值与配置</w:t>
            </w:r>
          </w:p>
        </w:tc>
        <w:tc>
          <w:tcPr>
            <w:tcW w:type="dxa" w:w="4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Assets/Game/Piece/Data/*.asset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棋子注册</w:t>
            </w:r>
          </w:p>
        </w:tc>
        <w:tc>
          <w:tcPr>
            <w:tcW w:type="dxa" w:w="4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Assets/Game/Piece/Data/PieceRegistry.asset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棋池解锁</w:t>
            </w:r>
          </w:p>
        </w:tc>
        <w:tc>
          <w:tcPr>
            <w:tcW w:type="dxa" w:w="4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见《</w:t>
            </w:r>
            <w:hyperlink r:id="rId17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17_玩家档案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批量配置</w:t>
            </w:r>
          </w:p>
        </w:tc>
        <w:tc>
          <w:tcPr>
            <w:tcW w:type="dxa" w:w="409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配置表\棋子配置生成器.xlsx</w:t>
            </w:r>
          </w:p>
        </w:tc>
      </w:tr>
    </w:tbl>
    <w:p>
      <w:bookmarkStart w:id="53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5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392" w:type="dxa"/>
      </w:tblPr>
      <w:tblGrid>
        <w:gridCol w:w="2246"/>
        <w:gridCol w:w="3146"/>
      </w:tblGrid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棋子编号重复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注册表按编号覆盖，取后注册者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大招效果类名为空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该棋子没有大招，不显示大招入口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大招效果类名无法实例化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视为配置错误，需在运行期显式报错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召唤物被编入阵容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不允许，棋池过滤掉召唤物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蓄力型棋子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不显示能量条，改显示蓄力层数</w:t>
            </w:r>
          </w:p>
        </w:tc>
      </w:tr>
      <w:tr>
        <w:tc>
          <w:tcPr>
            <w:tcW w:type="dxa" w:w="22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己方棋子全灭</w:t>
            </w:r>
          </w:p>
        </w:tc>
        <w:tc>
          <w:tcPr>
            <w:tcW w:type="dxa" w:w="31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判负，召唤物不计入存活统计</w:t>
            </w:r>
          </w:p>
        </w:tc>
      </w:tr>
    </w:tbl>
    <w:p>
      <w:bookmarkStart w:id="54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5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572" w:type="dxa"/>
      </w:tblPr>
      <w:tblGrid>
        <w:gridCol w:w="1526"/>
        <w:gridCol w:w="404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详情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棋子模型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 个角色模型，含 1 个召唤物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选人界面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阵容选择面板，按已解锁棋池过滤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属性面板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战斗中显示所选棋子的生命、攻击、防御与状态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棋子图标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棋池、商店、属性面板共用一套头像图标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动作与视觉反馈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程序化动作与零素材反馈，见《</w:t>
            </w:r>
            <w:hyperlink r:id="rId19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13_棋子表现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</w:tbl>
    <w:p>
      <w:bookmarkStart w:id="55" w:name="sec_9_迭代规划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迭代规划</w:t>
      </w:r>
      <w:bookmarkEnd w:id="5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26"/>
        <w:gridCol w:w="6774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方向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棋池持续扩充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新增棋子是局外金币的长期出口，也是阵容组合的持续来源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效果类复用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大招与被动按类名实例化，新增棋子可复用既有效果类，不必写新代码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防御型棋子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若要引入防御特化的棋子，需先解决减法公式下高防收益递增的问题，见《</w:t>
            </w:r>
            <w:hyperlink r:id="rId11">
              <w:r>
                <w:rPr>
                  <w:rFonts w:ascii="微软雅黑" w:hAnsi="微软雅黑" w:eastAsia="微软雅黑" w:cs="微软雅黑"/>
                  <w:color w:val="1A237E"/>
                  <w:u w:val="single"/>
                  <w:sz w:val="18"/>
                </w:rPr>
                <w:t xml:space="preserve">05_伤害计算</w:t>
              </w:r>
            </w:hyperlink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》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头像与技能图标</w:t>
            </w:r>
          </w:p>
        </w:tc>
        <w:tc>
          <w:tcPr>
            <w:tcW w:type="dxa" w:w="677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需要美术补齐后接入棋池、商店与属性面板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hyperlink" Target="05_&#20260;&#23475;&#35745;&#31639;.docx" TargetMode="External"/><Relationship Id="rId12" Type="http://schemas.openxmlformats.org/officeDocument/2006/relationships/hyperlink" Target="06_&#20803;&#32032;&#21453;&#24212;.docx" TargetMode="External"/><Relationship Id="rId13" Type="http://schemas.openxmlformats.org/officeDocument/2006/relationships/hyperlink" Target="02_&#33539;&#22260;&#19982;&#31354;&#38388;.docx" TargetMode="External"/><Relationship Id="rId14" Type="http://schemas.openxmlformats.org/officeDocument/2006/relationships/hyperlink" Target="07_&#22823;&#25307;&#19982;&#33021;&#37327;.docx" TargetMode="External"/><Relationship Id="rId15" Type="http://schemas.openxmlformats.org/officeDocument/2006/relationships/hyperlink" Target="10_&#34987;&#21160;&#19982;&#35013;&#22791;.docx" TargetMode="External"/><Relationship Id="rId16" Type="http://schemas.openxmlformats.org/officeDocument/2006/relationships/image" Target="media/image2.png"/><Relationship Id="rId17" Type="http://schemas.openxmlformats.org/officeDocument/2006/relationships/hyperlink" Target="17_&#29609;&#23478;&#26723;&#26696;.docx" TargetMode="External"/><Relationship Id="rId18" Type="http://schemas.openxmlformats.org/officeDocument/2006/relationships/image" Target="media/image3.png"/><Relationship Id="rId19" Type="http://schemas.openxmlformats.org/officeDocument/2006/relationships/hyperlink" Target="13_&#26827;&#23376;&#34920;&#2961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