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18_局外金币经济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18 局外金币经济</w:t>
      </w:r>
      <w:bookmarkEnd w:id="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Assets/Game/PlayerProfile/PlayerProfileService.cs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Config/PlayerProfileConfig.cs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Client/UI_PieceShopPanel.cs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Client/UI_GameOver.cs</w:t>
      </w:r>
    </w:p>
    <w:p>
      <w:bookmarkStart w:id="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806"/>
        <w:gridCol w:w="1266"/>
        <w:gridCol w:w="5422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v1.1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新增平局档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重写：划清局内 / 局外两个账本；校正平局档与单价的实际落地状态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"/>
    </w:p>
    <w:p>
      <w:bookmarkStart w:id="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给玩家一个跨局的理由——「再打一局」。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局内金币随对局结束归零，局外金币跨局累积，用于解锁棋子。这是本项目的长期钩子（Long-term loop）。</w:t>
      </w:r>
    </w:p>
    <w:p>
      <w:bookmarkStart w:id="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112" w:type="dxa"/>
      </w:tblPr>
      <w:tblGrid>
        <w:gridCol w:w="1346"/>
        <w:gridCol w:w="47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每局都有收获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即使打输了也有金币进账，不会因为连败而完全没有进展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里程碑清晰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攒够单价就能买一个新棋子，且解锁后立即能用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解锁有实感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买到第 5 个棋子后，「每方 5 个」选项从置灰变可选</w:t>
            </w:r>
          </w:p>
        </w:tc>
      </w:tr>
    </w:tbl>
    <w:p>
      <w:bookmarkStart w:id="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局外金币经济是一条</w:t>
      </w:r>
      <w:r>
        <w:rPr>
          <w:rFonts w:ascii="微软雅黑" w:hAnsi="微软雅黑" w:eastAsia="微软雅黑" w:cs="微软雅黑"/>
          <w:b/>
          <w:color w:val="212121"/>
          <w:sz w:val="18"/>
        </w:rPr>
        <w:t>跨局闭环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局内对战（胜负）→ 局外金币（本册，跨局累积）→ 棋子商店（消耗）</w:t>
        <w:br/>
        <w:t xml:space="preserve"> → 棋池扩大 → 解锁更大的「每方棋子数」选项 → 影响下一局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两个账本的边界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（本册的核心前提）：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986"/>
        <w:gridCol w:w="3705"/>
        <w:gridCol w:w="3608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维度</w:t>
            </w:r>
          </w:p>
        </w:tc>
        <w:tc>
          <w:tcPr>
            <w:tcW w:type="dxa" w:w="370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局内账本</w:t>
            </w:r>
          </w:p>
        </w:tc>
        <w:tc>
          <w:tcPr>
            <w:tcW w:type="dxa" w:w="36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局外账本（本册）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载体</w:t>
            </w:r>
          </w:p>
        </w:tc>
        <w:tc>
          <w:tcPr>
            <w:tcW w:type="dxa" w:w="370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GoldModel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（对局内，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GoldManager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持有）</w:t>
            </w:r>
          </w:p>
        </w:tc>
        <w:tc>
          <w:tcPr>
            <w:tcW w:type="dxa" w:w="36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PlayerProfileData.gold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（跨局，写入存档）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产出</w:t>
            </w:r>
          </w:p>
        </w:tc>
        <w:tc>
          <w:tcPr>
            <w:tcW w:type="dxa" w:w="370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造成 / 承受伤害实时到账</w:t>
            </w:r>
          </w:p>
        </w:tc>
        <w:tc>
          <w:tcPr>
            <w:tcW w:type="dxa" w:w="36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每局结束结算发币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消耗</w:t>
            </w:r>
          </w:p>
        </w:tc>
        <w:tc>
          <w:tcPr>
            <w:tcW w:type="dxa" w:w="370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局内买装备、道具、城邦出价</w:t>
            </w:r>
          </w:p>
        </w:tc>
        <w:tc>
          <w:tcPr>
            <w:tcW w:type="dxa" w:w="36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棋子商店、外观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生命周期</w:t>
            </w:r>
          </w:p>
        </w:tc>
        <w:tc>
          <w:tcPr>
            <w:tcW w:type="dxa" w:w="370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对局结束即清空</w:t>
            </w:r>
          </w:p>
        </w:tc>
        <w:tc>
          <w:tcPr>
            <w:tcW w:type="dxa" w:w="36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跨局保留，即时写盘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影响面</w:t>
            </w:r>
          </w:p>
        </w:tc>
        <w:tc>
          <w:tcPr>
            <w:tcW w:type="dxa" w:w="370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本局内的经济决策</w:t>
            </w:r>
          </w:p>
        </w:tc>
        <w:tc>
          <w:tcPr>
            <w:tcW w:type="dxa" w:w="360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只影响「下一局的可选棋子」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两个账本</w:t>
      </w:r>
      <w:r>
        <w:rPr>
          <w:rFonts w:ascii="微软雅黑" w:hAnsi="微软雅黑" w:eastAsia="微软雅黑" w:cs="微软雅黑"/>
          <w:b/>
          <w:color w:val="212121"/>
          <w:sz w:val="18"/>
        </w:rPr>
        <w:t>零兑换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：局外金币不倒灌成局内开局优势。局内金币的产出与消耗属《</w:t>
      </w:r>
      <w:hyperlink r:id="rId10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04_回合与资源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11_商店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》的范畴，本册只界定边界、不重复展开。</w:t>
      </w:r>
    </w:p>
    <w:p>
      <w:bookmarkStart w:id="7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7"/>
    </w:p>
    <w:p>
      <w:bookmarkStart w:id="8" w:name="sec_3_1_产出_Sources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产出（Sources）</w:t>
      </w:r>
      <w:bookmarkEnd w:id="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03" w:type="dxa"/>
      </w:tblPr>
      <w:tblGrid>
        <w:gridCol w:w="986"/>
        <w:gridCol w:w="1551"/>
        <w:gridCol w:w="20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来源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金额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时机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参与奖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+100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每局结束（无论胜负）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胜利奖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额外 +200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胜利时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单局合计</w:t>
            </w:r>
          </w:p>
        </w:tc>
        <w:tc>
          <w:tcPr>
            <w:tcW w:type="dxa" w:w="15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负 100 / 胜 300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设计判断：失败也有 100——保证连败的玩家仍在推进（否则「输了等于白打」会迅速劝退）。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/>
          <w:color w:val="555555"/>
          <w:sz w:val="18"/>
        </w:rPr>
        <w:t>平局档的落地状态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：设计上曾拟定「平局 +50（合计 150）」，但当前</w:t>
      </w:r>
      <w:r>
        <w:rPr>
          <w:rFonts w:ascii="微软雅黑" w:hAnsi="微软雅黑" w:eastAsia="微软雅黑" w:cs="微软雅黑"/>
          <w:b/>
          <w:color w:val="555555"/>
          <w:sz w:val="18"/>
        </w:rPr>
        <w:t>整条胜负管线都不支持平局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——判定层（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TurnModel.CheckGameOver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只有「某方无真实棋子 → 对方胜」）、事件层（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OnGameOver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签名为「获胜方」单一参数）、结算层（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SettleGameOutcome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为布尔「本机是否获胜」）三层都没有第三态。要落地平局档需要三层同步改造。</w:t>
      </w:r>
    </w:p>
    <w:p>
      <w:bookmarkStart w:id="9" w:name="sec_3_2_消耗_Sink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消耗（Sink）</w:t>
      </w:r>
      <w:bookmarkEnd w:id="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12" w:type="dxa"/>
      </w:tblPr>
      <w:tblGrid>
        <w:gridCol w:w="1526"/>
        <w:gridCol w:w="408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消耗</w:t>
            </w:r>
          </w:p>
        </w:tc>
        <w:tc>
          <w:tcPr>
            <w:tcW w:type="dxa" w:w="4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金额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购买棋子</w:t>
            </w:r>
          </w:p>
        </w:tc>
        <w:tc>
          <w:tcPr>
            <w:tcW w:type="dxa" w:w="4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配置单价（当前默认 500，设计拟定 600）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皮肤等外观</w:t>
            </w:r>
          </w:p>
        </w:tc>
        <w:tc>
          <w:tcPr>
            <w:tcW w:type="dxa" w:w="4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规划中，尚未实现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新棋子持续更新</w:t>
            </w:r>
          </w:p>
        </w:tc>
        <w:tc>
          <w:tcPr>
            <w:tcW w:type="dxa" w:w="4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棋池持续扩充即持续 sink，不是「买完即毕业」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决策：金币出口从「单一买棋子」扩为 ① 持续新棋子 ② 皮肤等外观；明确否决「局外金币转局内」。</w:t>
      </w:r>
    </w:p>
    <w:p>
      <w:bookmarkStart w:id="10" w:name="sec_3_3_唯一发币点与幂等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唯一发币点与幂等</w:t>
      </w:r>
      <w:bookmarkEnd w:id="1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int SettleGameOutcome(bool localPlayerWon)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166"/>
        <w:gridCol w:w="7134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要点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唯一发币点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结算只在这一处（便于将来「各自胜负」分别结算）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静态标志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_currentGameSettled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BeginNewGame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重置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重置时机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GameFlowController.Start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每次进局内场景调用 → 重开一局（重载场景）后重新置位，新局可正常结算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防重复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UI_GameOver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可能被重复触发（含强制判负 / 多订阅）→ 靠幂等标志跳过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未登录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 -1，不发币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为什么幂等是必需的：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UI_GameOver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面板有「重开一局」按钮，若结算挂在面板显示逻辑上又没有保护，玩家反复点就能刷金币。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另有强制判负入口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TurnManager.Forfeit(loser, reason)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（战争之城主将阵亡、光杆司令，以及主将双判负等即时结束场景），它走同一条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OnGameOver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管线，因此同样只有一次结算机会。</w:t>
      </w:r>
    </w:p>
    <w:p>
      <w:bookmarkStart w:id="11" w:name="sec_3_4_结算归属参数化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结算归属参数化</w:t>
      </w:r>
      <w:bookmarkEnd w:id="1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由调用方决定「本机是否获胜」：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07" w:type="dxa"/>
      </w:tblPr>
      <w:tblGrid>
        <w:gridCol w:w="986"/>
        <w:gridCol w:w="392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模式</w:t>
            </w:r>
          </w:p>
        </w:tc>
        <w:tc>
          <w:tcPr>
            <w:tcW w:type="dxa" w:w="3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调用方传入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本地热座</w:t>
            </w:r>
          </w:p>
        </w:tc>
        <w:tc>
          <w:tcPr>
            <w:tcW w:type="dxa" w:w="3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winner == PlayerSide.P1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（本机视角 = P1）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</w:t>
            </w:r>
          </w:p>
        </w:tc>
        <w:tc>
          <w:tcPr>
            <w:tcW w:type="dxa" w:w="39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winner == 我的阵营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意义：参数化后，联机时只改调用方一处，结算逻辑与 UI 零改动——这才是「预留」该有的样子。</w:t>
      </w:r>
    </w:p>
    <w:p>
      <w:bookmarkStart w:id="12" w:name="sec_3_5_棋池解锁联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棋池解锁联动</w:t>
      </w:r>
      <w:bookmarkEnd w:id="1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解锁判据：拥有棋子数 ≥ 选项目标值。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977" w:type="dxa"/>
      </w:tblPr>
      <w:tblGrid>
        <w:gridCol w:w="1091"/>
        <w:gridCol w:w="1886"/>
      </w:tblGrid>
      <w:tr>
        <w:tc>
          <w:tcPr>
            <w:tcW w:type="dxa" w:w="1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可选「每方棋子数」</w:t>
            </w:r>
          </w:p>
        </w:tc>
      </w:tr>
      <w:tr>
        <w:tc>
          <w:tcPr>
            <w:tcW w:type="dxa" w:w="1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4（初始）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 3</w:t>
            </w:r>
          </w:p>
        </w:tc>
      </w:tr>
      <w:tr>
        <w:tc>
          <w:tcPr>
            <w:tcW w:type="dxa" w:w="1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与 5</w:t>
            </w:r>
          </w:p>
        </w:tc>
      </w:tr>
      <w:tr>
        <w:tc>
          <w:tcPr>
            <w:tcW w:type="dxa" w:w="1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 及以上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 与 5 与 7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选择「大于等于」的理由：每方要从池子里选 N 个不同的棋子，池子必须装得下要选的数。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三处钳制（防「选了 7 但只有 4 个棋子」）：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492" w:type="dxa"/>
      </w:tblPr>
      <w:tblGrid>
        <w:gridCol w:w="1166"/>
        <w:gridCol w:w="232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大厅回显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Start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时钳制记录值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开始前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OnStartClicked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再次钳制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选棋子界面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Show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防御性钳制</w:t>
            </w:r>
          </w:p>
        </w:tc>
      </w:tr>
    </w:tbl>
    <w:p>
      <w:bookmarkStart w:id="13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3"/>
    </w:p>
    <w:p>
      <w:bookmarkStart w:id="14" w:name="sec_4_1_经济表_核心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经济表（核心）</w:t>
      </w:r>
      <w:bookmarkEnd w:id="14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经济闭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Sources：</w:t>
        <w:br/>
        <w:t xml:space="preserve">  负局 +100</w:t>
        <w:br/>
        <w:t xml:space="preserve">  胜局 +300（100 参与奖 + 200 胜利奖）</w:t>
        <w:br/>
        <w:t xml:space="preserve">  50% 胜率下均值 = (100 + 300) / 2 = 200 / 局</w:t>
        <w:br/>
        <w:br/>
        <w:t>Sink：</w:t>
        <w:br/>
        <w:t xml:space="preserve">  棋子单价（默认 500）</w:t>
        <w:br/>
        <w:br/>
        <w:t>待解锁棋子数 = 9（可上场棋子）− 4（初始） = 5 个</w:t>
        <w:br/>
        <w:t>全解锁成本 = 5 × 单价</w:t>
        <w:br/>
        <w:t xml:space="preserve">  按 500 计 = 2500 金币，约 12~13 局</w:t>
        <w:br/>
        <w:t xml:space="preserve">  按 600 计 = 3000 金币，约 15 局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节奏标注为待验证：以上为估值，未经 playtest。若单局 20~40 分钟，15 局约 5~10 小时集齐。</w:t>
      </w:r>
    </w:p>
    <w:p>
      <w:bookmarkStart w:id="15" w:name="sec_4_2_通胀风险与决策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通胀风险与决策</w:t>
      </w:r>
      <w:bookmarkEnd w:id="1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问题：金币的 sink 原本只有一个（买棋子），买完就无处可花，而每局仍产出，形成通胀（典型「source 找不到 sink」）。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702" w:type="dxa"/>
      </w:tblPr>
      <w:tblGrid>
        <w:gridCol w:w="3476"/>
        <w:gridCol w:w="4226"/>
      </w:tblGrid>
      <w:tr>
        <w:tc>
          <w:tcPr>
            <w:tcW w:type="dxa" w:w="3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方案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结论</w:t>
            </w:r>
          </w:p>
        </w:tc>
      </w:tr>
      <w:tr>
        <w:tc>
          <w:tcPr>
            <w:tcW w:type="dxa" w:w="3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A. 增加 sink（持续新棋子 + 皮肤外观）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采纳</w:t>
            </w:r>
          </w:p>
        </w:tc>
      </w:tr>
      <w:tr>
        <w:tc>
          <w:tcPr>
            <w:tcW w:type="dxa" w:w="3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B. 提高单价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辅助</w:t>
            </w:r>
          </w:p>
        </w:tc>
      </w:tr>
      <w:tr>
        <w:tc>
          <w:tcPr>
            <w:tcW w:type="dxa" w:w="3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C. 局外金币转局内初始金币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否决（破坏局内公平：攒钱多的人一开局就领先）</w:t>
            </w:r>
          </w:p>
        </w:tc>
      </w:tr>
      <w:tr>
        <w:tc>
          <w:tcPr>
            <w:tcW w:type="dxa" w:w="3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D. 接受上限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不采纳（会有持续新内容）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原则沉淀：source 必须配 sink，但 sink 加在「局外」（新棋子、皮肤），不能倒灌进「局内」。局内与局外是两个账本，不可互相兑换成「战斗力」。</w:t>
      </w:r>
    </w:p>
    <w:p>
      <w:bookmarkStart w:id="16" w:name="sec_4_3_收益曲线的特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收益曲线的特性</w:t>
      </w:r>
      <w:bookmarkEnd w:id="1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当前设计：收益固定，不随表现变化。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292" w:type="dxa"/>
      </w:tblPr>
      <w:tblGrid>
        <w:gridCol w:w="2066"/>
        <w:gridCol w:w="422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优点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缺点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可预期、无挫败感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无「越玩越赚」的动力（高手与菜鸟收益相同）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简单，不需要额外平衡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长期动机偏弱（只有「攒够单价」这一个里程碑）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这是一个有意的简化。表现差异不体现在金币上——金币侧维持「收益固定」，表现差异只体现在排位分（见《</w:t>
      </w:r>
      <w:hyperlink r:id="rId14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19_排位分系统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》），两者不重复造轮子。</w:t>
      </w:r>
    </w:p>
    <w:p>
      <w:bookmarkStart w:id="17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17"/>
    </w:p>
    <w:p>
      <w:bookmarkStart w:id="18" w:name="sec_5_1_PlayerProfileConfig_中与本系统相关的字段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5.1 </w:t>
      </w:r>
      <w:r>
        <w:rPr>
          <w:rFonts w:ascii="微软雅黑" w:hAnsi="微软雅黑" w:eastAsia="微软雅黑" w:cs="微软雅黑"/>
          <w:b/>
          <w:color w:val="1A237E"/>
          <w:sz w:val="20"/>
        </w:rPr>
        <w:t>PlayerProfileConfig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中与本系统相关的字段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48" w:type="dxa"/>
      </w:tblPr>
      <w:tblGrid>
        <w:gridCol w:w="1821"/>
        <w:gridCol w:w="806"/>
        <w:gridCol w:w="4821"/>
      </w:tblGrid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默认值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goldPerGame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参与奖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goldPerWinBonus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200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胜利额外加成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平局加成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——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当前无此字段（平局档未落地，见 §3.1）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piecePrice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500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棋子单价（设计拟定 600，未落地）</w:t>
            </w:r>
          </w:p>
        </w:tc>
      </w:tr>
      <w:tr>
        <w:tc>
          <w:tcPr>
            <w:tcW w:type="dxa" w:w="1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initialPieceIds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</w:t>
            </w:r>
          </w:p>
        </w:tc>
        <w:tc>
          <w:tcPr>
            <w:tcW w:type="dxa" w:w="48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初始棋池白名单，留空 = 按 id 升序取前 N 个非召唤棋子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参数在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PlayerProfileConfig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（ScriptableObject）里，但当前无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.asset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，运行期走代码默认值——需先建资产，否则调参不生效。</w:t>
      </w:r>
    </w:p>
    <w:p>
      <w:bookmarkStart w:id="19" w:name="sec_5_2_PlayerProfileService_相关_API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5.2 </w:t>
      </w:r>
      <w:r>
        <w:rPr>
          <w:rFonts w:ascii="微软雅黑" w:hAnsi="微软雅黑" w:eastAsia="微软雅黑" w:cs="微软雅黑"/>
          <w:b/>
          <w:color w:val="1A237E"/>
          <w:sz w:val="20"/>
        </w:rPr>
        <w:t>PlayerProfileService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相关 API</w:t>
      </w:r>
      <w:bookmarkEnd w:id="1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051"/>
        <w:gridCol w:w="2802"/>
        <w:gridCol w:w="3446"/>
      </w:tblGrid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SettleGameOutcome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 (bool localPlayerWon)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唯一发币点，返回本局所得；已结算 / 未登录返回 -1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BeginNewGame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void ()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重置幂等标志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TryBuyPiece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(int pieceId, out string failReason)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购买（金币 sink）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GetOwnedPieces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List&lt;PieceData&gt;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棋池（过滤召唤物）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OwnedCount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拥有棋子数（不过滤召唤物，解锁判据）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IsOptionUnlocked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 (int piecesPerSide)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拥有数 ≥ 选项值 即解锁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GetValidPieceCount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 (int requested)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钳制到已解锁范围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OnProfileChanged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event Action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 / 棋池变动广播</w:t>
            </w:r>
          </w:p>
        </w:tc>
      </w:tr>
      <w:tr>
        <w:tc>
          <w:tcPr>
            <w:tcW w:type="dxa" w:w="2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（内部标志）</w:t>
            </w:r>
          </w:p>
        </w:tc>
        <w:tc>
          <w:tcPr>
            <w:tcW w:type="dxa" w:w="280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static bool _currentGameSettled</w:t>
            </w:r>
          </w:p>
        </w:tc>
        <w:tc>
          <w:tcPr>
            <w:tcW w:type="dxa" w:w="3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幂等保护</w:t>
            </w:r>
          </w:p>
        </w:tc>
      </w:tr>
    </w:tbl>
    <w:p>
      <w:bookmarkStart w:id="20" w:name="sec_5_3_购买失败分支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购买失败分支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88" w:type="dxa"/>
      </w:tblPr>
      <w:tblGrid>
        <w:gridCol w:w="1166"/>
        <w:gridCol w:w="661"/>
        <w:gridCol w:w="316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条件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</w:t>
            </w:r>
          </w:p>
        </w:tc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提示文案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未登录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「未登录」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棋子不存在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「棋子不存在」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已拥有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「已拥有该棋子」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金币不足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「金币不足（需 N，当前 M）」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通过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true</w:t>
            </w:r>
          </w:p>
        </w:tc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扣款 + 解锁 + 即时写盘 + 广播刷新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失败时一律</w:t>
      </w:r>
      <w:r>
        <w:rPr>
          <w:rFonts w:ascii="微软雅黑" w:hAnsi="微软雅黑" w:eastAsia="微软雅黑" w:cs="微软雅黑"/>
          <w:b/>
          <w:color w:val="212121"/>
          <w:sz w:val="18"/>
        </w:rPr>
        <w:t>不扣款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bookmarkStart w:id="21" w:name="sec_5_4_UI_PieceShopPanel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5.4 </w:t>
      </w:r>
      <w:r>
        <w:rPr>
          <w:rFonts w:ascii="微软雅黑" w:hAnsi="微软雅黑" w:eastAsia="微软雅黑" w:cs="微软雅黑"/>
          <w:b/>
          <w:color w:val="1A237E"/>
          <w:sz w:val="20"/>
        </w:rPr>
        <w:t>UI_PieceShopPanel</w:t>
      </w:r>
      <w:bookmarkEnd w:id="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22" w:type="dxa"/>
      </w:tblPr>
      <w:tblGrid>
        <w:gridCol w:w="986"/>
        <w:gridCol w:w="593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职责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展示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金币余额 + 全部棋子列表（已拥有置灰 / 未拥有显示价格与购买按钮）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调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TryBuyPiece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；成功或失败后立即重建列表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刷新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订阅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OnProfileChanged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，购买后「每方棋子数」解锁状态立即更新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不列出（与选人池口径一致）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条目信息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已拥有显「HP / 攻 / 防」；未拥有显价格；副文案显移动 / 射程 / 元素</w:t>
            </w:r>
          </w:p>
        </w:tc>
      </w:tr>
    </w:tbl>
    <w:p>
      <w:bookmarkStart w:id="22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2076"/>
        <w:gridCol w:w="6223"/>
      </w:tblGrid>
      <w:tr>
        <w:tc>
          <w:tcPr>
            <w:tcW w:type="dxa" w:w="2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622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2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产出 / 单价 / 初始棋子</w:t>
            </w:r>
          </w:p>
        </w:tc>
        <w:tc>
          <w:tcPr>
            <w:tcW w:type="dxa" w:w="622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PlayerProfileConfig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（ScriptableObject）</w:t>
            </w:r>
          </w:p>
        </w:tc>
      </w:tr>
      <w:tr>
        <w:tc>
          <w:tcPr>
            <w:tcW w:type="dxa" w:w="2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当前状态</w:t>
            </w:r>
          </w:p>
        </w:tc>
        <w:tc>
          <w:tcPr>
            <w:tcW w:type="dxa" w:w="622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该配置无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.asset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，运行期走代码默认值</w:t>
            </w:r>
          </w:p>
        </w:tc>
      </w:tr>
      <w:tr>
        <w:tc>
          <w:tcPr>
            <w:tcW w:type="dxa" w:w="2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局内金币参数</w:t>
            </w:r>
          </w:p>
        </w:tc>
        <w:tc>
          <w:tcPr>
            <w:tcW w:type="dxa" w:w="622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（为对照参考：起始 50 / 每点伤害 1 / 每点承受 0.3），属局内账本</w:t>
            </w:r>
          </w:p>
        </w:tc>
      </w:tr>
      <w:tr>
        <w:tc>
          <w:tcPr>
            <w:tcW w:type="dxa" w:w="20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经济配置表</w:t>
            </w:r>
          </w:p>
        </w:tc>
        <w:tc>
          <w:tcPr>
            <w:tcW w:type="dxa" w:w="622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目前没有独立的局外经济配置表</w:t>
            </w:r>
          </w:p>
        </w:tc>
      </w:tr>
    </w:tbl>
    <w:p>
      <w:bookmarkStart w:id="23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193" w:type="dxa"/>
      </w:tblPr>
      <w:tblGrid>
        <w:gridCol w:w="2066"/>
        <w:gridCol w:w="3141"/>
        <w:gridCol w:w="98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同一局重复结算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幂等（静态标志跳过，返回 -1）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重开一局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BeginNewGame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重置，新局可结算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返回大厅再开局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同上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未登录时结算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 -1，不发币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强制判负（战争之城）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走同一管线，只结算一次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金币不足购买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拒绝且不扣款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重复购买已拥有棋子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拒绝并提示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购买后解锁状态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立即刷新（第 5 个可能刚可用）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金币变更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即时写盘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棋池过滤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GetOwnedPieces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已排除召唤物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选项目标值 &gt; 拥有数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三处钳制回退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全部棋子拥有后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金币无处可花（待新增外观出口）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管线无平局态，不产生平局结算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联机时各自身份</w:t>
            </w:r>
          </w:p>
        </w:tc>
        <w:tc>
          <w:tcPr>
            <w:tcW w:type="dxa" w:w="3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localPlayerWon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由调用方决定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（预留）</w:t>
            </w:r>
          </w:p>
        </w:tc>
      </w:tr>
    </w:tbl>
    <w:p>
      <w:bookmarkStart w:id="24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73" w:type="dxa"/>
      </w:tblPr>
      <w:tblGrid>
        <w:gridCol w:w="1346"/>
        <w:gridCol w:w="4721"/>
        <w:gridCol w:w="8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棋子商店面板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UI_PieceShopPanel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（金币 / 列表 / 购买 / 关闭）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商品条目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复用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ShopItem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预制体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金币显示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大厅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+ 商店内金币（未登录显「金币：--」）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结算金币反馈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UI_GameOver.rewardText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显「本局金币 +X」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局内金币显示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UI_GoldDisplay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显当前活动玩家金币（属局内账本）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棋子图片位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结构预留 Sprite 拖入位，当前隐藏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待素材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解锁提示</w:t>
            </w:r>
          </w:p>
        </w:tc>
        <w:tc>
          <w:tcPr>
            <w:tcW w:type="dxa" w:w="4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买到第 5 / 7 个时是否有「新选项已解锁」提示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25" w:name="sec_9_实现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实现与验收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27" w:type="dxa"/>
      </w:tblPr>
      <w:tblGrid>
        <w:gridCol w:w="4241"/>
        <w:gridCol w:w="2786"/>
      </w:tblGrid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局外金币产出（参与奖 + 胜利奖）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唯一发币点 + 幂等保护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结算归属参数化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棋子购买（扣款 + 解锁 + 即时写盘）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购买失败分支（未登录 / 不存在 / 已拥有 / 不足）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棋池解锁联动（三处钳制）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 4 棋子（可配）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结算金币反馈文案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棋子商店 UI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局外金币与局内账本隔离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平局档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未实现（三层管线均无第三态）</w:t>
            </w:r>
          </w:p>
        </w:tc>
      </w:tr>
      <w:tr>
        <w:tc>
          <w:tcPr>
            <w:tcW w:type="dxa" w:w="42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皮肤等外观出口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26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2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全解锁局数（约 12~15 局）的节奏是否合适，需 playtest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胜负收益差（200）是否足够形成「想赢」的动力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棋子单价定为 500 还是 600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实机验证：首次启动金币是否为 0、打一局后是否正确 +100 / +300、买棋子后选项是否解锁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多账号金币独立性需实测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6. 平局档是否需要落地：若需要，判定层、事件层、结算层三层需同步支持第三态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7. 全解锁后的金币出口：皮肤等外观的规划与排期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hyperlink" Target="04_&#22238;&#21512;&#19982;&#36164;&#28304;.docx" TargetMode="External"/><Relationship Id="rId11" Type="http://schemas.openxmlformats.org/officeDocument/2006/relationships/hyperlink" Target="11_&#21830;&#24215;.docx" TargetMode="External"/><Relationship Id="rId12" Type="http://schemas.openxmlformats.org/officeDocument/2006/relationships/hyperlink" Target="12_&#22478;&#37030;&#31995;&#32479;.docx" TargetMode="External"/><Relationship Id="rId13" Type="http://schemas.openxmlformats.org/officeDocument/2006/relationships/image" Target="media/image1.png"/><Relationship Id="rId14" Type="http://schemas.openxmlformats.org/officeDocument/2006/relationships/hyperlink" Target="19_&#25490;&#20301;&#20998;&#31995;&#32479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