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56" w:name="sec_19_排位分系统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19 排位分系统</w:t>
      </w:r>
      <w:bookmarkEnd w:id="256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Chess）。设计稿，尚未实现；全局背景见《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关联：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18 局外金币经济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（同一次结算产出）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04 回合与资源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（棋钟制与平局）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08 死亡与胜负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（收场与平局事件扩展）</w:t>
      </w:r>
    </w:p>
    <w:p>
      <w:bookmarkStart w:id="257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5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805"/>
        <w:gridCol w:w="1265"/>
        <w:gridCol w:w="5422"/>
        <w:gridCol w:w="805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2026-09-15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首版：排位分机制设计（竞技制 + 平局差额结算，含比例与额度试算）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重写：按九节骨架整理；标明前置依赖（棋钟 / 平局）的落地状态；校正与金币轴的衔接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258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258"/>
    </w:p>
    <w:p>
      <w:bookmarkStart w:id="259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25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给玩家一个竞技目标轴——「往上打」。它与局外金币互补：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313" w:type="dxa"/>
      </w:tblPr>
      <w:tblGrid>
        <w:gridCol w:w="1791"/>
        <w:gridCol w:w="2096"/>
        <w:gridCol w:w="2426"/>
      </w:tblGrid>
      <w:tr>
        <w:tc>
          <w:tcPr>
            <w:tcW w:type="dxa" w:w="17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系统</w:t>
            </w:r>
          </w:p>
        </w:tc>
        <w:tc>
          <w:tcPr>
            <w:tcW w:type="dxa" w:w="2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衡量什么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玩家动机</w:t>
            </w:r>
          </w:p>
        </w:tc>
      </w:tr>
      <w:tr>
        <w:tc>
          <w:tcPr>
            <w:tcW w:type="dxa" w:w="17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局外金币（18 册）</w:t>
            </w:r>
          </w:p>
        </w:tc>
        <w:tc>
          <w:tcPr>
            <w:tcW w:type="dxa" w:w="2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广度——解锁更多棋子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「凑齐棋池，试更多组合」</w:t>
            </w:r>
          </w:p>
        </w:tc>
      </w:tr>
      <w:tr>
        <w:tc>
          <w:tcPr>
            <w:tcW w:type="dxa" w:w="17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排位分（本册）</w:t>
            </w:r>
          </w:p>
        </w:tc>
        <w:tc>
          <w:tcPr>
            <w:tcW w:type="dxa" w:w="2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深度——证明水平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「打上更高的段位」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两条轴正交：金币买不到排位分，排位分换不来金币。</w:t>
      </w:r>
    </w:p>
    <w:p>
      <w:bookmarkStart w:id="260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26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12" w:type="dxa"/>
      </w:tblPr>
      <w:tblGrid>
        <w:gridCol w:w="1166"/>
        <w:gridCol w:w="584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58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胜要赢得值</w:t>
            </w:r>
          </w:p>
        </w:tc>
        <w:tc>
          <w:tcPr>
            <w:tcW w:type="dxa" w:w="58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 +100，明显重于平局（基础 10），赢才是主要目标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平局不白打</w:t>
            </w:r>
          </w:p>
        </w:tc>
        <w:tc>
          <w:tcPr>
            <w:tcW w:type="dxa" w:w="58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平局给基础分，并按战况差额结算，领先方多得、落后方少得甚至扣分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摆烂有代价</w:t>
            </w:r>
          </w:p>
        </w:tc>
        <w:tc>
          <w:tcPr>
            <w:tcW w:type="dxa" w:w="58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负局 −100，不能靠「连败混参与分」</w:t>
            </w:r>
          </w:p>
        </w:tc>
      </w:tr>
    </w:tbl>
    <w:p>
      <w:bookmarkStart w:id="261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261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对局（胜负 / 平局）</w:t>
        <w:br/>
        <w:t xml:space="preserve"> ↓</w:t>
        <w:br/>
        <w:t>结算：排位分（本册）+ 局外金币（18 册）</w:t>
        <w:br/>
        <w:t xml:space="preserve"> ↓</w:t>
        <w:br/>
        <w:t>段位 / 天梯（未来）、棋池解锁（18 册）</w:t>
      </w:r>
    </w:p>
    <w:p>
      <w:bookmarkStart w:id="262" w:name="sec_2_4_前置依赖与当前状态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前置依赖与当前状态</w:t>
      </w:r>
      <w:bookmarkEnd w:id="26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本册是纯设计稿，</w:t>
      </w:r>
      <w:r>
        <w:rPr>
          <w:rFonts w:ascii="微软雅黑" w:hAnsi="微软雅黑" w:eastAsia="微软雅黑" w:cs="微软雅黑"/>
          <w:b/>
          <w:color w:val="212121"/>
          <w:sz w:val="18"/>
        </w:rPr>
        <w:t>尚未实现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。它依赖两个同样未实现的前置：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64" w:type="dxa"/>
      </w:tblPr>
      <w:tblGrid>
        <w:gridCol w:w="986"/>
        <w:gridCol w:w="1106"/>
        <w:gridCol w:w="2246"/>
        <w:gridCol w:w="33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前置</w:t>
            </w:r>
          </w:p>
        </w:tc>
        <w:tc>
          <w:tcPr>
            <w:tcW w:type="dxa" w:w="1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对本册的影响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棋钟制</w:t>
            </w:r>
          </w:p>
        </w:tc>
        <w:tc>
          <w:tcPr>
            <w:tcW w:type="dxa" w:w="1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04 册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规则已定，计时器未实现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平局的主要来源；无棋钟则无超时平局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平局判定</w:t>
            </w:r>
          </w:p>
        </w:tc>
        <w:tc>
          <w:tcPr>
            <w:tcW w:type="dxa" w:w="1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04 / 08 册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规则已定，未实现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事件层与结算层均无第三态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平局的架构改动点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（08 册已声明）：当前胜负判定只有「某方无真实棋子 → 对方胜」，事件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OnGameOver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只携带获胜方，结算面板只处理获胜方。引入平局需同时扩展</w:t>
      </w:r>
      <w:r>
        <w:rPr>
          <w:rFonts w:ascii="微软雅黑" w:hAnsi="微软雅黑" w:eastAsia="微软雅黑" w:cs="微软雅黑"/>
          <w:b/>
          <w:color w:val="212121"/>
          <w:sz w:val="18"/>
        </w:rPr>
        <w:t>事件签名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与</w:t>
      </w:r>
      <w:r>
        <w:rPr>
          <w:rFonts w:ascii="微软雅黑" w:hAnsi="微软雅黑" w:eastAsia="微软雅黑" w:cs="微软雅黑"/>
          <w:b/>
          <w:color w:val="212121"/>
          <w:sz w:val="18"/>
        </w:rPr>
        <w:t>面板显示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，这是引入平局唯一的架构改动点。排位分的平局差额结算建立在这项改动之上。</w:t>
      </w:r>
    </w:p>
    <w:p>
      <w:bookmarkStart w:id="263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263"/>
    </w:p>
    <w:p>
      <w:bookmarkStart w:id="264" w:name="sec_3_1_结算总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结算总表</w:t>
      </w:r>
      <w:bookmarkEnd w:id="26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083" w:type="dxa"/>
      </w:tblPr>
      <w:tblGrid>
        <w:gridCol w:w="626"/>
        <w:gridCol w:w="1811"/>
        <w:gridCol w:w="264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结果</w:t>
            </w:r>
          </w:p>
        </w:tc>
        <w:tc>
          <w:tcPr>
            <w:tcW w:type="dxa" w:w="18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</w:t>
            </w:r>
          </w:p>
        </w:tc>
        <w:tc>
          <w:tcPr>
            <w:tcW w:type="dxa" w:w="26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局外金币（18 册）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</w:t>
            </w:r>
          </w:p>
        </w:tc>
        <w:tc>
          <w:tcPr>
            <w:tcW w:type="dxa" w:w="18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+100</w:t>
            </w:r>
          </w:p>
        </w:tc>
        <w:tc>
          <w:tcPr>
            <w:tcW w:type="dxa" w:w="26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300（参与 100 + 胜利 200）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</w:t>
            </w:r>
          </w:p>
        </w:tc>
        <w:tc>
          <w:tcPr>
            <w:tcW w:type="dxa" w:w="18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 +10 + 额外分</w:t>
            </w:r>
          </w:p>
        </w:tc>
        <w:tc>
          <w:tcPr>
            <w:tcW w:type="dxa" w:w="26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150（参与 100 + 平局 50）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负</w:t>
            </w:r>
          </w:p>
        </w:tc>
        <w:tc>
          <w:tcPr>
            <w:tcW w:type="dxa" w:w="18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−100</w:t>
            </w:r>
          </w:p>
        </w:tc>
        <w:tc>
          <w:tcPr>
            <w:tcW w:type="dxa" w:w="26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100（参与奖）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金币侧的平局档同样未落地（18 册已记），两侧需一并实现。</w:t>
      </w:r>
    </w:p>
    <w:p>
      <w:bookmarkStart w:id="265" w:name="sec_3_2_平局额外分_差值结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平局额外分：差值结算</w:t>
      </w:r>
      <w:bookmarkEnd w:id="26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额外分 = E_max × ( R_self − R_opp )</w:t>
        <w:br/>
        <w:br/>
        <w:t>R = w_p × p + w_h × h</w:t>
        <w:br/>
        <w:t xml:space="preserve">  p = 己方剩余真实棋子数 / 开局棋子数（召唤物不计）</w:t>
        <w:br/>
        <w:t xml:space="preserve">  h = 己方剩余总 HP / 开局总 HP</w:t>
        <w:br/>
        <w:t xml:space="preserve">  w_p : w_h = 7 : 3（棋子数 : HP）</w:t>
        <w:br/>
        <w:t xml:space="preserve">  E_max = 15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两种结算口径，本项目选「差值」：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706"/>
        <w:gridCol w:w="2456"/>
        <w:gridCol w:w="4138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口径</w:t>
            </w:r>
          </w:p>
        </w:tc>
        <w:tc>
          <w:tcPr>
            <w:tcW w:type="dxa" w:w="24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算法</w:t>
            </w:r>
          </w:p>
        </w:tc>
        <w:tc>
          <w:tcPr>
            <w:tcW w:type="dxa" w:w="413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后果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各自结算</w:t>
            </w:r>
          </w:p>
        </w:tc>
        <w:tc>
          <w:tcPr>
            <w:tcW w:type="dxa" w:w="24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E_max × R_self</w:t>
            </w:r>
          </w:p>
        </w:tc>
        <w:tc>
          <w:tcPr>
            <w:tcW w:type="dxa" w:w="413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双方都为正，平局让双方排名都涨（逐局通胀）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差值结算（采用）</w:t>
            </w:r>
          </w:p>
        </w:tc>
        <w:tc>
          <w:tcPr>
            <w:tcW w:type="dxa" w:w="24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E_max × (R_self − R_opp)</w:t>
            </w:r>
          </w:p>
        </w:tc>
        <w:tc>
          <w:tcPr>
            <w:tcW w:type="dxa" w:w="413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零和：领先方 +、落后方 −，落后方必须主动求变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选差值的理由：差值让「平局」对落后方是惩罚，逼他必须打，把「用有限 AP 做出翻盘判断」的张力找回来。若用「各自结算」，平局是双方纯正收益，会与「拖平风险」叠加共振——保优势加稳涨分，谁还冒险求胜。</w:t>
      </w:r>
    </w:p>
    <w:p>
      <w:bookmarkStart w:id="266" w:name="sec_3_3_参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参数</w:t>
      </w:r>
      <w:bookmarkEnd w:id="26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758" w:type="dxa"/>
      </w:tblPr>
      <w:tblGrid>
        <w:gridCol w:w="1681"/>
        <w:gridCol w:w="1881"/>
        <w:gridCol w:w="3196"/>
      </w:tblGrid>
      <w:tr>
        <w:tc>
          <w:tcPr>
            <w:tcW w:type="dxa" w:w="16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31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理由</w:t>
            </w:r>
          </w:p>
        </w:tc>
      </w:tr>
      <w:tr>
        <w:tc>
          <w:tcPr>
            <w:tcW w:type="dxa" w:w="16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权重比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w_p : w_h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 : 3</w:t>
            </w:r>
          </w:p>
        </w:tc>
        <w:tc>
          <w:tcPr>
            <w:tcW w:type="dxa" w:w="31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6:4 会否定「棋子数权重高」的初衷</w:t>
            </w:r>
          </w:p>
        </w:tc>
      </w:tr>
      <w:tr>
        <w:tc>
          <w:tcPr>
            <w:tcW w:type="dxa" w:w="16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满分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E_max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31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平局总分落在 15~21，约胜利的 1/5</w:t>
            </w:r>
          </w:p>
        </w:tc>
      </w:tr>
      <w:tr>
        <w:tc>
          <w:tcPr>
            <w:tcW w:type="dxa" w:w="16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结算口径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差值</w:t>
            </w:r>
          </w:p>
        </w:tc>
        <w:tc>
          <w:tcPr>
            <w:tcW w:type="dxa" w:w="31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6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 / 负 / 平基础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+100 / −100 / +10</w:t>
            </w:r>
          </w:p>
        </w:tc>
        <w:tc>
          <w:tcPr>
            <w:tcW w:type="dxa" w:w="31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</w:tbl>
    <w:p>
      <w:bookmarkStart w:id="267" w:name="sec_3_4_奖励紧凑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奖励紧凑性</w:t>
      </w:r>
      <w:bookmarkEnd w:id="26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排位分只按「剩余棋子 + 剩余 HP」结算，不引入击杀数、回合数等额外维度。18 册金币侧维持「收益固定」，两者分工明确：表现差异只体现在排位分，不重复造轮子。</w:t>
      </w:r>
    </w:p>
    <w:p>
      <w:bookmarkStart w:id="268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268"/>
    </w:p>
    <w:p>
      <w:bookmarkStart w:id="269" w:name="sec_4_1_比例试算_推荐_7_3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比例试算，推荐 7:3</w:t>
      </w:r>
      <w:bookmarkEnd w:id="26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当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与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h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同向（都高或都低）时，三个比例结果完全一样（此时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就等于该值）。比例只在两维背离时起作用——而背离恰好出现在两个场景：「多残兵」（棋子多、血薄）与「少厚兵」（棋子少、血厚）。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806" w:type="dxa"/>
      </w:tblPr>
      <w:tblGrid>
        <w:gridCol w:w="986"/>
        <w:gridCol w:w="626"/>
        <w:gridCol w:w="626"/>
        <w:gridCol w:w="856"/>
        <w:gridCol w:w="856"/>
        <w:gridCol w:w="85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棋盘状态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 (8:2)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 (7:3)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 (6:4)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全面领先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0.70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0.70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0.70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0.70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0.70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多残兵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0.80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0.40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0.72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0.68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0.64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均势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0.50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0.50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0.50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0.50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0.50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少厚兵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0.80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0.40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0.45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0.50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全面落后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0.30</w:t>
            </w:r>
          </w:p>
        </w:tc>
        <w:tc>
          <w:tcPr>
            <w:tcW w:type="dxa" w:w="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0.30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对局差额含义（多残兵 对 少厚兵，差值口径）：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035" w:type="dxa"/>
      </w:tblPr>
      <w:tblGrid>
        <w:gridCol w:w="626"/>
        <w:gridCol w:w="626"/>
        <w:gridCol w:w="2091"/>
        <w:gridCol w:w="1346"/>
        <w:gridCol w:w="134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比例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ΔR</w:t>
            </w:r>
          </w:p>
        </w:tc>
        <w:tc>
          <w:tcPr>
            <w:tcW w:type="dxa" w:w="2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额外分（E_max=15）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领先方排位分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落后方排位分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8:2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0.32</w:t>
            </w:r>
          </w:p>
        </w:tc>
        <w:tc>
          <w:tcPr>
            <w:tcW w:type="dxa" w:w="2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±4.8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7:3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0.23</w:t>
            </w:r>
          </w:p>
        </w:tc>
        <w:tc>
          <w:tcPr>
            <w:tcW w:type="dxa" w:w="2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±3.5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13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6:4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0.14</w:t>
            </w:r>
          </w:p>
        </w:tc>
        <w:tc>
          <w:tcPr>
            <w:tcW w:type="dxa" w:w="2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±2.1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推理：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一个残血棋子仍能行动、占位、挡路，血量本身不能行动，棋子数应压过血量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8:2 最极端地体现「棋子数优先」，但会让「5 个 1 血兵」评分虚高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6:4 把多残兵与少厚兵拉到几乎相等，否定「棋子数权重高」的初衷，不采用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7:3：棋子数清晰主导，同时保留 HP 30% 的发言权</w:t>
      </w:r>
    </w:p>
    <w:p>
      <w:bookmarkStart w:id="270" w:name="sec_4_2_额度试算_推荐_E_max_15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额度试算，推荐 E_max = 15</w:t>
      </w:r>
      <w:bookmarkEnd w:id="27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平局总分 = 10 + E_max × 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（比例取 7:3，单方视角，未含差值）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185" w:type="dxa"/>
      </w:tblPr>
      <w:tblGrid>
        <w:gridCol w:w="986"/>
        <w:gridCol w:w="626"/>
        <w:gridCol w:w="1191"/>
        <w:gridCol w:w="1191"/>
        <w:gridCol w:w="119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棋盘状态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E_max=10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E_max=15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E_max=20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领先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0.70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17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21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24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均势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0.50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18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落后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0.30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13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11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16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推理：E_max=15 时平局总分 15~21，约为胜利（100）的 1/5；领先与落后差约 6 分，区分度足够，又不至于让人为那 6 分龟缩。</w:t>
      </w:r>
    </w:p>
    <w:p>
      <w:bookmarkStart w:id="271" w:name="sec_4_3_结算口径试算_采用差值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结算口径试算，采用差值</w:t>
      </w:r>
      <w:bookmarkEnd w:id="27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同一局面（7 对 7 平局，P1 剩 4 子、血 60%，P2 剩 2 子、血 30%）：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R_P1 = 0.7×(4/7) + 0.3×0.60 = 0.40 + 0.18 = 0.58</w:t>
        <w:br/>
        <w:t>R_P2 = 0.7×(2/7) + 0.3×0.30 = 0.20 + 0.09 = 0.29</w:t>
        <w:br/>
        <w:br/>
        <w:t>各自结算：额外分 P1 = 15×0.58 = +9 → 排位分 19</w:t>
        <w:br/>
        <w:t xml:space="preserve">          额外分 P2 = 15×0.29 = +4 → 排位分 14   （双方都涨，净 +13，通胀）</w:t>
        <w:br/>
        <w:t>差值结算：ΔR = 0.58 − 0.29 = 0.29</w:t>
        <w:br/>
        <w:t xml:space="preserve">          额外分 P1 = +4 → 排位分 14</w:t>
        <w:br/>
        <w:t xml:space="preserve">          额外分 P2 = −4 → 排位分 6            （零和，净 0）</w:t>
        <w:br/>
        <w:t>金币（两口径相同）：双方各 150</w:t>
      </w:r>
    </w:p>
    <w:p>
      <w:bookmarkStart w:id="272" w:name="sec_4_4_均衡平局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均衡平局</w:t>
      </w:r>
      <w:bookmarkEnd w:id="27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双方均势平局（各剩 3 子、血 50%）：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相同，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ΔR = 0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，额外分 0，双方各 10 分。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意义：战况越接近，平局越「平」；只有真拉开差距，差额分才有意义。</w:t>
      </w:r>
    </w:p>
    <w:p>
      <w:bookmarkStart w:id="273" w:name="sec_4_5_梯度总览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4.5 梯度总览</w:t>
      </w:r>
      <w:bookmarkEnd w:id="27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838" w:type="dxa"/>
      </w:tblPr>
      <w:tblGrid>
        <w:gridCol w:w="2011"/>
        <w:gridCol w:w="1201"/>
        <w:gridCol w:w="626"/>
      </w:tblGrid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结果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排位分区间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</w:t>
            </w:r>
          </w:p>
        </w:tc>
      </w:tr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+100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300</w:t>
            </w:r>
          </w:p>
        </w:tc>
      </w:tr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平（领先，R 约 0.7）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+13 ~ +16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150</w:t>
            </w:r>
          </w:p>
        </w:tc>
      </w:tr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平（均势）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+10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150</w:t>
            </w:r>
          </w:p>
        </w:tc>
      </w:tr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平（落后，R 约 0.3）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+4 ~ +7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150</w:t>
            </w:r>
          </w:p>
        </w:tc>
      </w:tr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负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−100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单调性检查通过：胜(100) 远大于 领先平(约 14) 大于 均势平(10) 大于 落后平(约 5) 大于 负(−100)，没有倒挂。</w:t>
      </w:r>
    </w:p>
    <w:p>
      <w:bookmarkStart w:id="274" w:name="sec_5_数据结构_规划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数据结构（规划）</w:t>
      </w:r>
      <w:bookmarkEnd w:id="27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952" w:type="dxa"/>
      </w:tblPr>
      <w:tblGrid>
        <w:gridCol w:w="1346"/>
        <w:gridCol w:w="26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字段（示意）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账号级累积，与金币同属档案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段位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由排位分映射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赛季标记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是否随赛季重置，待定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落点预计在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PlayerProfileService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：排位分与金币应在</w:t>
      </w:r>
      <w:r>
        <w:rPr>
          <w:rFonts w:ascii="微软雅黑" w:hAnsi="微软雅黑" w:eastAsia="微软雅黑" w:cs="微软雅黑"/>
          <w:b/>
          <w:color w:val="212121"/>
          <w:sz w:val="18"/>
        </w:rPr>
        <w:t>同一结算调用内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产出，避免两套幂等标志。当前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SettleGameOutcome(bool localPlayerWon)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只返回本局金币，若纳入排位分需扩展返回值或引入结算结果结构体。</w:t>
      </w:r>
    </w:p>
    <w:p>
      <w:bookmarkStart w:id="275" w:name="sec_6_配置与资源_规划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配置与资源（规划）</w:t>
      </w:r>
      <w:bookmarkEnd w:id="27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997" w:type="dxa"/>
      </w:tblPr>
      <w:tblGrid>
        <w:gridCol w:w="1716"/>
        <w:gridCol w:w="3281"/>
      </w:tblGrid>
      <w:tr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3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建议位置</w:t>
            </w:r>
          </w:p>
        </w:tc>
      </w:tr>
      <w:tr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 / 负 / 平基础分</w:t>
            </w:r>
          </w:p>
        </w:tc>
        <w:tc>
          <w:tcPr>
            <w:tcW w:type="dxa" w:w="3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或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PlayerProfileConfig</w:t>
            </w:r>
          </w:p>
        </w:tc>
      </w:tr>
      <w:tr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权重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w_p : w_h</w:t>
            </w:r>
          </w:p>
        </w:tc>
        <w:tc>
          <w:tcPr>
            <w:tcW w:type="dxa" w:w="3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同上</w:t>
            </w:r>
          </w:p>
        </w:tc>
      </w:tr>
      <w:tr>
        <w:tc>
          <w:tcPr>
            <w:tcW w:type="dxa" w:w="17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满分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E_max</w:t>
            </w:r>
          </w:p>
        </w:tc>
        <w:tc>
          <w:tcPr>
            <w:tcW w:type="dxa" w:w="32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同上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约定：数值不写魔数，全部走配置。</w:t>
      </w:r>
    </w:p>
    <w:p>
      <w:bookmarkStart w:id="276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27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2340"/>
        <w:gridCol w:w="5153"/>
        <w:gridCol w:w="805"/>
      </w:tblGrid>
      <w:tr>
        <w:tc>
          <w:tcPr>
            <w:tcW w:type="dxa" w:w="23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5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3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平局额外分为负</w:t>
            </w:r>
          </w:p>
        </w:tc>
        <w:tc>
          <w:tcPr>
            <w:tcW w:type="dxa" w:w="5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允许（差值自然产生，落后方小幅扣分），这是设计意图，不是缺陷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23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召唤物存活</w:t>
            </w:r>
          </w:p>
        </w:tc>
        <w:tc>
          <w:tcPr>
            <w:tcW w:type="dxa" w:w="5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必须排除，与胜负判定同口径（兔兔伯爵血量极高，会直接污染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开局棋子数不同（3 / 5 / 7）</w:t>
            </w:r>
          </w:p>
        </w:tc>
        <w:tc>
          <w:tcPr>
            <w:tcW w:type="dxa" w:w="5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按各自开局归一，跨配置可比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排位分跌破 0</w:t>
            </w:r>
          </w:p>
        </w:tc>
        <w:tc>
          <w:tcPr>
            <w:tcW w:type="dxa" w:w="5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23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单局重复结算</w:t>
            </w:r>
          </w:p>
        </w:tc>
        <w:tc>
          <w:tcPr>
            <w:tcW w:type="dxa" w:w="5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与金币共用同一幂等标志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未实现棋钟时的平局来源</w:t>
            </w:r>
          </w:p>
        </w:tc>
        <w:tc>
          <w:tcPr>
            <w:tcW w:type="dxa" w:w="5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无超时平局，仅剩「双方均无真实棋子」等极端情形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</w:tbl>
    <w:p>
      <w:bookmarkStart w:id="277" w:name="sec_8_设计风险_平局奖励领先方_激励_优势方拖平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设计风险：平局奖励领先方，激励「优势方拖平」</w:t>
      </w:r>
      <w:bookmarkEnd w:id="27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风险：一旦领先，求胜要冒险、可能翻车；而拖到时间耗尽变平局，仍拿额外分。理性最优解可能变成「避险、控时、把优势保持到终局」，与核心体验「用有限 AP 做出翻盘判断」正面冲突。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已采纳的缓解：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4900"/>
        <w:gridCol w:w="3399"/>
      </w:tblGrid>
      <w:tr>
        <w:tc>
          <w:tcPr>
            <w:tcW w:type="dxa" w:w="490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手段</w:t>
            </w:r>
          </w:p>
        </w:tc>
        <w:tc>
          <w:tcPr>
            <w:tcW w:type="dxa" w:w="340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</w:tr>
      <w:tr>
        <w:tc>
          <w:tcPr>
            <w:tcW w:type="dxa" w:w="490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压低额外分权重并打折（E_max=15，而非与胜利同量级）</w:t>
            </w:r>
          </w:p>
        </w:tc>
        <w:tc>
          <w:tcPr>
            <w:tcW w:type="dxa" w:w="340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让「赢的 100」远重于「平局的约 14」</w:t>
            </w:r>
          </w:p>
        </w:tc>
      </w:tr>
      <w:tr>
        <w:tc>
          <w:tcPr>
            <w:tcW w:type="dxa" w:w="490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差值结算</w:t>
            </w:r>
          </w:p>
        </w:tc>
        <w:tc>
          <w:tcPr>
            <w:tcW w:type="dxa" w:w="340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平局对落后方是惩罚，落后方必须打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剩余监控：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playtest 设失败信号：记录「领先方在领先后的行为是否转向保守或控时」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若仍失控：给时间劣势方补偿，或平局额外分再打折</w:t>
      </w:r>
    </w:p>
    <w:p>
      <w:bookmarkStart w:id="278" w:name="sec_9_实现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实现与验收</w:t>
      </w:r>
      <w:bookmarkEnd w:id="27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432" w:type="dxa"/>
      </w:tblPr>
      <w:tblGrid>
        <w:gridCol w:w="3626"/>
        <w:gridCol w:w="806"/>
      </w:tblGrid>
      <w:tr>
        <w:tc>
          <w:tcPr>
            <w:tcW w:type="dxa" w:w="3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3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排位分结算（胜 / 负 / 平基础）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3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平局差额额外分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3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段位映射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3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赛季重置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未定</w:t>
            </w:r>
          </w:p>
        </w:tc>
      </w:tr>
      <w:tr>
        <w:tc>
          <w:tcPr>
            <w:tcW w:type="dxa" w:w="3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前置：棋钟制（04 册）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3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前置：平局判定与事件扩展（04 / 08 册）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</w:tbl>
    <w:p>
      <w:bookmarkStart w:id="279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279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段位系统：是否要做段位或分段，如何映射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赛季重置：赛季长度与重置规则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匹配机制：是否按排位分匹配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负分下限：排位分是否有下限、是否允许负分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与「按表现加成」去重：排位分已用「剩余棋子 + HP」结算，金币侧保持固定收益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6. 文案：结算面板如何展示排位分变化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7. 落地顺序：棋钟与平局先行，排位分随后；两侧金币平局档需与排位分一并实现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