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Financial Report Q3 2024</w:t>
      </w:r>
    </w:p>
    <w:p>
      <w:r>
        <w:t>Prepared by: Finance Department</w:t>
      </w:r>
    </w:p>
    <w:p>
      <w:r>
        <w:t>Date: September 30, 2024</w:t>
      </w:r>
    </w:p>
    <w:p>
      <w:pPr>
        <w:pStyle w:val="Heading2"/>
      </w:pPr>
      <w:r>
        <w:t>Executive Summary</w:t>
      </w:r>
    </w:p>
    <w:p>
      <w:r>
        <w:t>Total revenue for Q3 2024 reached 4.2 million dollars, representing a 12% increase compared to Q3 2023. Operating costs were reduced by 8% through efficiency initiatives. Net profit margin improved to 23.5%, up from 19.1% in the prior year period.</w:t>
      </w:r>
    </w:p>
    <w:p>
      <w:pPr>
        <w:pStyle w:val="Heading2"/>
      </w:pPr>
      <w:r>
        <w:t>Key Highlights</w:t>
      </w:r>
    </w:p>
    <w:p>
      <w:pPr>
        <w:pStyle w:val="ListBullet"/>
      </w:pPr>
      <w:r>
        <w:t>Product revenue: 2.8M (up 15%)</w:t>
      </w:r>
    </w:p>
    <w:p>
      <w:pPr>
        <w:pStyle w:val="ListBullet"/>
      </w:pPr>
      <w:r>
        <w:t>Service revenue: 1.4M (up 6%)</w:t>
      </w:r>
    </w:p>
    <w:p>
      <w:pPr>
        <w:pStyle w:val="ListBullet"/>
      </w:pPr>
      <w:r>
        <w:t>New customers acquired: 340</w:t>
      </w:r>
    </w:p>
    <w:p>
      <w:pPr>
        <w:pStyle w:val="ListBullet"/>
      </w:pPr>
      <w:r>
        <w:t>Customer churn rate: 2.3%</w:t>
      </w:r>
    </w:p>
    <w:p>
      <w:pPr>
        <w:pStyle w:val="Heading2"/>
      </w:pPr>
      <w:r>
        <w:t>Regional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YoY Growth</w:t>
            </w:r>
          </w:p>
        </w:tc>
      </w:tr>
      <w:tr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2.43M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Europe</w:t>
            </w:r>
          </w:p>
        </w:tc>
        <w:tc>
          <w:tcPr>
            <w:tcW w:type="dxa" w:w="2880"/>
          </w:tcPr>
          <w:p>
            <w:r>
              <w:t>1.18M</w:t>
            </w:r>
          </w:p>
        </w:tc>
        <w:tc>
          <w:tcPr>
            <w:tcW w:type="dxa" w:w="2880"/>
          </w:tcPr>
          <w:p>
            <w:r>
              <w:t>9%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0.59M</w:t>
            </w:r>
          </w:p>
        </w:tc>
        <w:tc>
          <w:tcPr>
            <w:tcW w:type="dxa" w:w="2880"/>
          </w:tcPr>
          <w:p>
            <w:r>
              <w:t>31%</w:t>
            </w:r>
          </w:p>
        </w:tc>
      </w:tr>
    </w:tbl>
    <w:p>
      <w:pPr>
        <w:pStyle w:val="Heading2"/>
      </w:pPr>
      <w:r>
        <w:t>Outlook</w:t>
      </w:r>
    </w:p>
    <w:p>
      <w:r>
        <w:t>Q4 2024 revenue is projected to reach 4.6M to 4.9M based on current pipeline. Key risks include supply chain disruptions and foreign exchange headwinds.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