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C61CC">
      <w:pPr>
        <w:pStyle w:val="4"/>
        <w:rPr>
          <w:rFonts w:hint="default" w:ascii="Times New Roman" w:hAnsi="Times New Roman" w:cs="Times New Roman"/>
          <w:sz w:val="28"/>
          <w:szCs w:val="28"/>
        </w:rPr>
      </w:pPr>
      <w:bookmarkStart w:id="0" w:name="power-bi-dashboard"/>
      <w:r>
        <w:rPr>
          <w:rFonts w:hint="default" w:ascii="Times New Roman" w:hAnsi="Times New Roman" w:cs="Times New Roman"/>
          <w:b/>
          <w:bCs/>
          <w:sz w:val="28"/>
          <w:szCs w:val="28"/>
        </w:rPr>
        <w:t>Power BI Dashboard</w:t>
      </w:r>
    </w:p>
    <w:p w14:paraId="0DA0777B">
      <w:pPr>
        <w:pStyle w:val="5"/>
        <w:rPr>
          <w:rFonts w:hint="default" w:ascii="Times New Roman" w:hAnsi="Times New Roman" w:cs="Times New Roman"/>
          <w:sz w:val="24"/>
          <w:szCs w:val="24"/>
        </w:rPr>
      </w:pPr>
      <w:bookmarkStart w:id="1" w:name="X3de3acc945d332cf8058c76b7e24fec0a42bccd"/>
      <w:r>
        <w:rPr>
          <w:rFonts w:hint="default" w:ascii="Times New Roman" w:hAnsi="Times New Roman" w:cs="Times New Roman"/>
          <w:b/>
          <w:bCs/>
          <w:sz w:val="24"/>
          <w:szCs w:val="24"/>
        </w:rPr>
        <w:t>1. Overview Page</w:t>
      </w:r>
    </w:p>
    <w:p w14:paraId="65D99E61">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Fonts w:hint="default" w:ascii="Times New Roman" w:hAnsi="Times New Roman" w:cs="Times New Roman"/>
          <w:b/>
          <w:bCs/>
          <w:sz w:val="22"/>
          <w:szCs w:val="22"/>
        </w:rPr>
        <w:t>Overview Page</w:t>
      </w:r>
      <w:r>
        <w:rPr>
          <w:rFonts w:hint="default" w:ascii="Times New Roman" w:hAnsi="Times New Roman" w:cs="Times New Roman"/>
          <w:sz w:val="22"/>
          <w:szCs w:val="22"/>
        </w:rPr>
        <w:t xml:space="preserve"> s</w:t>
      </w:r>
      <w:bookmarkStart w:id="20" w:name="_GoBack"/>
      <w:bookmarkEnd w:id="20"/>
      <w:r>
        <w:rPr>
          <w:rFonts w:hint="default" w:ascii="Times New Roman" w:hAnsi="Times New Roman" w:cs="Times New Roman"/>
          <w:sz w:val="22"/>
          <w:szCs w:val="22"/>
        </w:rPr>
        <w:t>erves as the executive summary for the credit risk analysis, providing a high-level snapshot of the loan portfolio's health, applicant demographics, and key risk indicators. It is designed to allow stakeholders to quickly gauge the magnitude of applications, identify the volume of "at-risk" loans, and filter data by key demographics.</w:t>
      </w:r>
    </w:p>
    <w:p w14:paraId="62889E07">
      <w:pPr>
        <w:pStyle w:val="3"/>
        <w:rPr>
          <w:rFonts w:hint="default" w:ascii="Times New Roman" w:hAnsi="Times New Roman" w:cs="Times New Roman"/>
          <w:sz w:val="22"/>
          <w:szCs w:val="22"/>
        </w:rPr>
      </w:pPr>
      <w:r>
        <w:rPr>
          <w:rFonts w:hint="default" w:ascii="Times New Roman" w:hAnsi="Times New Roman" w:cs="Times New Roman"/>
          <w:sz w:val="22"/>
          <w:szCs w:val="22"/>
        </w:rPr>
        <w:t xml:space="preserve">Overview Dashboard </w:t>
      </w:r>
      <w:r>
        <w:rPr>
          <w:rFonts w:hint="default" w:ascii="Times New Roman" w:hAnsi="Times New Roman" w:cs="Times New Roman"/>
          <w:sz w:val="22"/>
          <w:szCs w:val="22"/>
        </w:rPr>
        <w:drawing>
          <wp:inline distT="0" distB="0" distL="114300" distR="114300">
            <wp:extent cx="5334000" cy="3007360"/>
            <wp:effectExtent l="0" t="0" r="0" b="0"/>
            <wp:docPr id="10" name="Picture" descr="Overview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Overview Dashboard"/>
                    <pic:cNvPicPr>
                      <a:picLocks noChangeAspect="1" noChangeArrowheads="1"/>
                    </pic:cNvPicPr>
                  </pic:nvPicPr>
                  <pic:blipFill>
                    <a:blip r:embed="rId5"/>
                    <a:stretch>
                      <a:fillRect/>
                    </a:stretch>
                  </pic:blipFill>
                  <pic:spPr>
                    <a:xfrm>
                      <a:off x="0" y="0"/>
                      <a:ext cx="5334000" cy="3007866"/>
                    </a:xfrm>
                    <a:prstGeom prst="rect">
                      <a:avLst/>
                    </a:prstGeom>
                    <a:noFill/>
                    <a:ln w="9525">
                      <a:noFill/>
                    </a:ln>
                  </pic:spPr>
                </pic:pic>
              </a:graphicData>
            </a:graphic>
          </wp:inline>
        </w:drawing>
      </w:r>
    </w:p>
    <w:p w14:paraId="223F73D0">
      <w:pPr>
        <w:pStyle w:val="6"/>
        <w:rPr>
          <w:rFonts w:hint="default" w:ascii="Times New Roman" w:hAnsi="Times New Roman" w:cs="Times New Roman"/>
          <w:sz w:val="22"/>
          <w:szCs w:val="22"/>
        </w:rPr>
      </w:pPr>
      <w:bookmarkStart w:id="2" w:name="key-performance-indicators-kpis"/>
      <w:r>
        <w:rPr>
          <w:rFonts w:hint="default" w:ascii="Times New Roman" w:hAnsi="Times New Roman" w:cs="Times New Roman"/>
          <w:b/>
          <w:bCs/>
          <w:sz w:val="22"/>
          <w:szCs w:val="22"/>
        </w:rPr>
        <w:t>Key Performance Indicators (KPIs)</w:t>
      </w:r>
    </w:p>
    <w:p w14:paraId="530933E2">
      <w:pPr>
        <w:pStyle w:val="23"/>
        <w:rPr>
          <w:rFonts w:hint="default" w:ascii="Times New Roman" w:hAnsi="Times New Roman" w:cs="Times New Roman"/>
          <w:sz w:val="22"/>
          <w:szCs w:val="22"/>
        </w:rPr>
      </w:pPr>
      <w:r>
        <w:rPr>
          <w:rFonts w:hint="default" w:ascii="Times New Roman" w:hAnsi="Times New Roman" w:cs="Times New Roman"/>
          <w:sz w:val="22"/>
          <w:szCs w:val="22"/>
        </w:rPr>
        <w:t>The top section highlights critical aggregate metrics:</w:t>
      </w:r>
    </w:p>
    <w:p w14:paraId="22948714">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Total Applications:</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307.51K</w:t>
      </w:r>
      <w:r>
        <w:rPr>
          <w:rFonts w:hint="default" w:ascii="Times New Roman" w:hAnsi="Times New Roman" w:cs="Times New Roman"/>
          <w:sz w:val="22"/>
          <w:szCs w:val="22"/>
        </w:rPr>
        <w:t xml:space="preserve"> total loan requests processed.</w:t>
      </w:r>
    </w:p>
    <w:p w14:paraId="774F6177">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Risk Associated Applications:</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25K</w:t>
      </w:r>
      <w:r>
        <w:rPr>
          <w:rFonts w:hint="default" w:ascii="Times New Roman" w:hAnsi="Times New Roman" w:cs="Times New Roman"/>
          <w:sz w:val="22"/>
          <w:szCs w:val="22"/>
        </w:rPr>
        <w:t xml:space="preserve"> applications flagged as defaults (approx. 8% of total).</w:t>
      </w:r>
    </w:p>
    <w:p w14:paraId="62D3EE08">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Previously Approved Customers:</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290.07K</w:t>
      </w:r>
      <w:r>
        <w:rPr>
          <w:rFonts w:hint="default" w:ascii="Times New Roman" w:hAnsi="Times New Roman" w:cs="Times New Roman"/>
          <w:sz w:val="22"/>
          <w:szCs w:val="22"/>
        </w:rPr>
        <w:t xml:space="preserve"> applicants with a history of prior approvals.</w:t>
      </w:r>
    </w:p>
    <w:p w14:paraId="6D3F9D8A">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Financial Scope:</w:t>
      </w:r>
      <w:r>
        <w:rPr>
          <w:rFonts w:hint="default" w:ascii="Times New Roman" w:hAnsi="Times New Roman" w:cs="Times New Roman"/>
          <w:sz w:val="22"/>
          <w:szCs w:val="22"/>
        </w:rPr>
        <w:t xml:space="preserve"> A total annuity exposure of </w:t>
      </w:r>
      <w:r>
        <w:rPr>
          <w:rFonts w:hint="default" w:ascii="Times New Roman" w:hAnsi="Times New Roman" w:cs="Times New Roman"/>
          <w:b/>
          <w:bCs/>
          <w:sz w:val="22"/>
          <w:szCs w:val="22"/>
        </w:rPr>
        <w:t>8.34bn</w:t>
      </w:r>
      <w:r>
        <w:rPr>
          <w:rFonts w:hint="default" w:ascii="Times New Roman" w:hAnsi="Times New Roman" w:cs="Times New Roman"/>
          <w:sz w:val="22"/>
          <w:szCs w:val="22"/>
        </w:rPr>
        <w:t xml:space="preserve">, with an average per-capita family income of </w:t>
      </w:r>
      <w:r>
        <w:rPr>
          <w:rFonts w:hint="default" w:ascii="Times New Roman" w:hAnsi="Times New Roman" w:cs="Times New Roman"/>
          <w:b/>
          <w:bCs/>
          <w:sz w:val="22"/>
          <w:szCs w:val="22"/>
        </w:rPr>
        <w:t>93.11K</w:t>
      </w:r>
      <w:r>
        <w:rPr>
          <w:rFonts w:hint="default" w:ascii="Times New Roman" w:hAnsi="Times New Roman" w:cs="Times New Roman"/>
          <w:sz w:val="22"/>
          <w:szCs w:val="22"/>
        </w:rPr>
        <w:t>.</w:t>
      </w:r>
    </w:p>
    <w:bookmarkEnd w:id="2"/>
    <w:p w14:paraId="23D9732B">
      <w:pPr>
        <w:pStyle w:val="6"/>
        <w:rPr>
          <w:rFonts w:hint="default" w:ascii="Times New Roman" w:hAnsi="Times New Roman" w:cs="Times New Roman"/>
          <w:sz w:val="22"/>
          <w:szCs w:val="22"/>
        </w:rPr>
      </w:pPr>
      <w:bookmarkStart w:id="3" w:name="financial--risk-ratios-gauge-indicators"/>
      <w:r>
        <w:rPr>
          <w:rFonts w:hint="default" w:ascii="Times New Roman" w:hAnsi="Times New Roman" w:cs="Times New Roman"/>
          <w:b/>
          <w:bCs/>
          <w:sz w:val="22"/>
          <w:szCs w:val="22"/>
        </w:rPr>
        <w:t>Financial &amp; Risk Ratios (Gauge Indicators)</w:t>
      </w:r>
    </w:p>
    <w:p w14:paraId="183ED8CD">
      <w:pPr>
        <w:pStyle w:val="23"/>
        <w:rPr>
          <w:rFonts w:hint="default" w:ascii="Times New Roman" w:hAnsi="Times New Roman" w:cs="Times New Roman"/>
          <w:sz w:val="22"/>
          <w:szCs w:val="22"/>
        </w:rPr>
      </w:pPr>
      <w:r>
        <w:rPr>
          <w:rFonts w:hint="default" w:ascii="Times New Roman" w:hAnsi="Times New Roman" w:cs="Times New Roman"/>
          <w:sz w:val="22"/>
          <w:szCs w:val="22"/>
        </w:rPr>
        <w:t>The second row visualizes critical financial health ratios that determine affordability and risk:</w:t>
      </w:r>
    </w:p>
    <w:p w14:paraId="3F23ABF8">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Average Annuity to Income Ratio (0.18):</w:t>
      </w:r>
      <w:r>
        <w:rPr>
          <w:rFonts w:hint="default" w:ascii="Times New Roman" w:hAnsi="Times New Roman" w:cs="Times New Roman"/>
          <w:sz w:val="22"/>
          <w:szCs w:val="22"/>
        </w:rPr>
        <w:t xml:space="preserve"> On average, applicants spend 18% of their income on loan repayment, indicating a generally healthy affordability level.</w:t>
      </w:r>
    </w:p>
    <w:p w14:paraId="7A65621F">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Credit to Income Ratio (3.96):</w:t>
      </w:r>
      <w:r>
        <w:rPr>
          <w:rFonts w:hint="default" w:ascii="Times New Roman" w:hAnsi="Times New Roman" w:cs="Times New Roman"/>
          <w:sz w:val="22"/>
          <w:szCs w:val="22"/>
        </w:rPr>
        <w:t xml:space="preserve"> The average loan size is nearly 4x the applicant's income.</w:t>
      </w:r>
    </w:p>
    <w:p w14:paraId="0EDC69AA">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Risk Percentage (0.08):</w:t>
      </w:r>
      <w:r>
        <w:rPr>
          <w:rFonts w:hint="default" w:ascii="Times New Roman" w:hAnsi="Times New Roman" w:cs="Times New Roman"/>
          <w:sz w:val="22"/>
          <w:szCs w:val="22"/>
        </w:rPr>
        <w:t xml:space="preserve"> Confirms the overall portfolio default rate is steady at 8%.</w:t>
      </w:r>
    </w:p>
    <w:bookmarkEnd w:id="3"/>
    <w:p w14:paraId="648805AC">
      <w:pPr>
        <w:pStyle w:val="6"/>
        <w:rPr>
          <w:rFonts w:hint="default" w:ascii="Times New Roman" w:hAnsi="Times New Roman" w:cs="Times New Roman"/>
          <w:sz w:val="22"/>
          <w:szCs w:val="22"/>
        </w:rPr>
      </w:pPr>
      <w:bookmarkStart w:id="4" w:name="interactive-filters"/>
      <w:r>
        <w:rPr>
          <w:rFonts w:hint="default" w:ascii="Times New Roman" w:hAnsi="Times New Roman" w:cs="Times New Roman"/>
          <w:b/>
          <w:bCs/>
          <w:sz w:val="22"/>
          <w:szCs w:val="22"/>
        </w:rPr>
        <w:t>Interactive Filters</w:t>
      </w:r>
    </w:p>
    <w:p w14:paraId="0F4619D4">
      <w:pPr>
        <w:pStyle w:val="23"/>
        <w:rPr>
          <w:rFonts w:hint="default" w:ascii="Times New Roman" w:hAnsi="Times New Roman" w:cs="Times New Roman"/>
          <w:sz w:val="22"/>
          <w:szCs w:val="22"/>
        </w:rPr>
      </w:pPr>
      <w:r>
        <w:rPr>
          <w:rFonts w:hint="default" w:ascii="Times New Roman" w:hAnsi="Times New Roman" w:cs="Times New Roman"/>
          <w:sz w:val="22"/>
          <w:szCs w:val="22"/>
        </w:rPr>
        <w:t>The dashboard empowers users to slice the data dynamically using:</w:t>
      </w:r>
    </w:p>
    <w:p w14:paraId="25FA22E5">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Age Slider:</w:t>
      </w:r>
      <w:r>
        <w:rPr>
          <w:rFonts w:hint="default" w:ascii="Times New Roman" w:hAnsi="Times New Roman" w:cs="Times New Roman"/>
          <w:sz w:val="22"/>
          <w:szCs w:val="22"/>
        </w:rPr>
        <w:t xml:space="preserve"> Filters data for applicants aged </w:t>
      </w:r>
      <w:r>
        <w:rPr>
          <w:rFonts w:hint="default" w:ascii="Times New Roman" w:hAnsi="Times New Roman" w:cs="Times New Roman"/>
          <w:b/>
          <w:bCs/>
          <w:sz w:val="22"/>
          <w:szCs w:val="22"/>
        </w:rPr>
        <w:t>20 to 69</w:t>
      </w:r>
      <w:r>
        <w:rPr>
          <w:rFonts w:hint="default" w:ascii="Times New Roman" w:hAnsi="Times New Roman" w:cs="Times New Roman"/>
          <w:sz w:val="22"/>
          <w:szCs w:val="22"/>
        </w:rPr>
        <w:t>.</w:t>
      </w:r>
    </w:p>
    <w:p w14:paraId="02A9F63F">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Loan Type:</w:t>
      </w:r>
      <w:r>
        <w:rPr>
          <w:rFonts w:hint="default" w:ascii="Times New Roman" w:hAnsi="Times New Roman" w:cs="Times New Roman"/>
          <w:sz w:val="22"/>
          <w:szCs w:val="22"/>
        </w:rPr>
        <w:t xml:space="preserve"> Toggles between </w:t>
      </w:r>
      <w:r>
        <w:rPr>
          <w:rFonts w:hint="default" w:ascii="Times New Roman" w:hAnsi="Times New Roman" w:cs="Times New Roman"/>
          <w:b/>
          <w:bCs/>
          <w:sz w:val="22"/>
          <w:szCs w:val="22"/>
        </w:rPr>
        <w:t>Cash Loans</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Revolving Loans</w:t>
      </w:r>
      <w:r>
        <w:rPr>
          <w:rFonts w:hint="default" w:ascii="Times New Roman" w:hAnsi="Times New Roman" w:cs="Times New Roman"/>
          <w:sz w:val="22"/>
          <w:szCs w:val="22"/>
        </w:rPr>
        <w:t>.</w:t>
      </w:r>
    </w:p>
    <w:p w14:paraId="7294AF11">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Demographic Dropdowns:</w:t>
      </w:r>
      <w:r>
        <w:rPr>
          <w:rFonts w:hint="default" w:ascii="Times New Roman" w:hAnsi="Times New Roman" w:cs="Times New Roman"/>
          <w:sz w:val="22"/>
          <w:szCs w:val="22"/>
        </w:rPr>
        <w:t xml:space="preserve"> Allows filtering by </w:t>
      </w:r>
      <w:r>
        <w:rPr>
          <w:rFonts w:hint="default" w:ascii="Times New Roman" w:hAnsi="Times New Roman" w:cs="Times New Roman"/>
          <w:b/>
          <w:bCs/>
          <w:sz w:val="22"/>
          <w:szCs w:val="22"/>
        </w:rPr>
        <w:t>Application Type</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Income Type</w:t>
      </w:r>
      <w:r>
        <w:rPr>
          <w:rFonts w:hint="default" w:ascii="Times New Roman" w:hAnsi="Times New Roman" w:cs="Times New Roman"/>
          <w:sz w:val="22"/>
          <w:szCs w:val="22"/>
        </w:rPr>
        <w:t>.</w:t>
      </w:r>
    </w:p>
    <w:bookmarkEnd w:id="4"/>
    <w:p w14:paraId="658AFAE6">
      <w:pPr>
        <w:pStyle w:val="6"/>
        <w:rPr>
          <w:rFonts w:hint="default" w:ascii="Times New Roman" w:hAnsi="Times New Roman" w:cs="Times New Roman"/>
          <w:sz w:val="22"/>
          <w:szCs w:val="22"/>
        </w:rPr>
      </w:pPr>
      <w:bookmarkStart w:id="5" w:name="visual-insights--breakdowns"/>
      <w:r>
        <w:rPr>
          <w:rFonts w:hint="default" w:ascii="Times New Roman" w:hAnsi="Times New Roman" w:cs="Times New Roman"/>
          <w:b/>
          <w:bCs/>
          <w:sz w:val="22"/>
          <w:szCs w:val="22"/>
        </w:rPr>
        <w:t>Visual Insights &amp; Breakdowns</w:t>
      </w:r>
    </w:p>
    <w:p w14:paraId="50FA0349">
      <w:pPr>
        <w:numPr>
          <w:ilvl w:val="0"/>
          <w:numId w:val="2"/>
        </w:numPr>
        <w:rPr>
          <w:rFonts w:hint="default" w:ascii="Times New Roman" w:hAnsi="Times New Roman" w:cs="Times New Roman"/>
          <w:sz w:val="22"/>
          <w:szCs w:val="22"/>
        </w:rPr>
      </w:pPr>
      <w:r>
        <w:rPr>
          <w:rFonts w:hint="default" w:ascii="Times New Roman" w:hAnsi="Times New Roman" w:cs="Times New Roman"/>
          <w:b/>
          <w:bCs/>
          <w:sz w:val="22"/>
          <w:szCs w:val="22"/>
        </w:rPr>
        <w:t>Default Trend by Age (Line Chart):</w:t>
      </w:r>
    </w:p>
    <w:p w14:paraId="21E047D7">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Chart:</w:t>
      </w:r>
      <w:r>
        <w:rPr>
          <w:rFonts w:hint="default" w:ascii="Times New Roman" w:hAnsi="Times New Roman" w:cs="Times New Roman"/>
          <w:sz w:val="22"/>
          <w:szCs w:val="22"/>
        </w:rPr>
        <w:t xml:space="preserve"> "Defaulted Application according to age of applicant"</w:t>
      </w:r>
    </w:p>
    <w:p w14:paraId="04433D5A">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Insight:</w:t>
      </w:r>
      <w:r>
        <w:rPr>
          <w:rFonts w:hint="default" w:ascii="Times New Roman" w:hAnsi="Times New Roman" w:cs="Times New Roman"/>
          <w:sz w:val="22"/>
          <w:szCs w:val="22"/>
        </w:rPr>
        <w:t xml:space="preserve"> There is a distinct spike in defaults among younger applicants (peaking around late 20s to early 30s). As applicants age beyond 40, the number of defaults steadily declines, corroborating the EDA finding that older applicants generally display higher credit stability.</w:t>
      </w:r>
    </w:p>
    <w:p w14:paraId="62B041A2">
      <w:pPr>
        <w:numPr>
          <w:ilvl w:val="0"/>
          <w:numId w:val="2"/>
        </w:numPr>
        <w:rPr>
          <w:rFonts w:hint="default" w:ascii="Times New Roman" w:hAnsi="Times New Roman" w:cs="Times New Roman"/>
          <w:sz w:val="22"/>
          <w:szCs w:val="22"/>
        </w:rPr>
      </w:pPr>
      <w:r>
        <w:rPr>
          <w:rFonts w:hint="default" w:ascii="Times New Roman" w:hAnsi="Times New Roman" w:cs="Times New Roman"/>
          <w:b/>
          <w:bCs/>
          <w:sz w:val="22"/>
          <w:szCs w:val="22"/>
        </w:rPr>
        <w:t>Defaults by Family Status (Bar Chart):</w:t>
      </w:r>
    </w:p>
    <w:p w14:paraId="7B65964D">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Chart:</w:t>
      </w:r>
      <w:r>
        <w:rPr>
          <w:rFonts w:hint="default" w:ascii="Times New Roman" w:hAnsi="Times New Roman" w:cs="Times New Roman"/>
          <w:sz w:val="22"/>
          <w:szCs w:val="22"/>
        </w:rPr>
        <w:t xml:space="preserve"> "No. of Default Applications from different Family type"</w:t>
      </w:r>
    </w:p>
    <w:p w14:paraId="1F7C0066">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Insight:</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Married</w:t>
      </w:r>
      <w:r>
        <w:rPr>
          <w:rFonts w:hint="default" w:ascii="Times New Roman" w:hAnsi="Times New Roman" w:cs="Times New Roman"/>
          <w:sz w:val="22"/>
          <w:szCs w:val="22"/>
        </w:rPr>
        <w:t xml:space="preserve"> applicants comprise the largest volume of defaults (</w:t>
      </w:r>
      <w:r>
        <w:rPr>
          <w:rFonts w:hint="default" w:ascii="Times New Roman" w:hAnsi="Times New Roman" w:cs="Times New Roman"/>
          <w:b/>
          <w:bCs/>
          <w:sz w:val="22"/>
          <w:szCs w:val="22"/>
        </w:rPr>
        <w:t>14.9K</w:t>
      </w:r>
      <w:r>
        <w:rPr>
          <w:rFonts w:hint="default" w:ascii="Times New Roman" w:hAnsi="Times New Roman" w:cs="Times New Roman"/>
          <w:sz w:val="22"/>
          <w:szCs w:val="22"/>
        </w:rPr>
        <w:t xml:space="preserve">), followed by </w:t>
      </w:r>
      <w:r>
        <w:rPr>
          <w:rFonts w:hint="default" w:ascii="Times New Roman" w:hAnsi="Times New Roman" w:cs="Times New Roman"/>
          <w:b/>
          <w:bCs/>
          <w:sz w:val="22"/>
          <w:szCs w:val="22"/>
        </w:rPr>
        <w:t>Single</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4.5K</w:t>
      </w:r>
      <w:r>
        <w:rPr>
          <w:rFonts w:hint="default" w:ascii="Times New Roman" w:hAnsi="Times New Roman" w:cs="Times New Roman"/>
          <w:sz w:val="22"/>
          <w:szCs w:val="22"/>
        </w:rPr>
        <w:t xml:space="preserve">). </w:t>
      </w:r>
      <w:r>
        <w:rPr>
          <w:rFonts w:hint="default" w:ascii="Times New Roman" w:hAnsi="Times New Roman" w:cs="Times New Roman"/>
          <w:i/>
          <w:iCs/>
          <w:sz w:val="22"/>
          <w:szCs w:val="22"/>
        </w:rPr>
        <w:t>Note: While the volume is high for married individuals, this is likely driven by the fact that they make up the majority of the applicant pool.</w:t>
      </w:r>
    </w:p>
    <w:p w14:paraId="7E5E89B7">
      <w:pPr>
        <w:numPr>
          <w:ilvl w:val="0"/>
          <w:numId w:val="2"/>
        </w:numPr>
        <w:rPr>
          <w:rFonts w:hint="default" w:ascii="Times New Roman" w:hAnsi="Times New Roman" w:cs="Times New Roman"/>
          <w:sz w:val="22"/>
          <w:szCs w:val="22"/>
        </w:rPr>
      </w:pPr>
      <w:r>
        <w:rPr>
          <w:rFonts w:hint="default" w:ascii="Times New Roman" w:hAnsi="Times New Roman" w:cs="Times New Roman"/>
          <w:b/>
          <w:bCs/>
          <w:sz w:val="22"/>
          <w:szCs w:val="22"/>
        </w:rPr>
        <w:t>Annuity Distribution by Gender (Pie Chart):</w:t>
      </w:r>
    </w:p>
    <w:p w14:paraId="62723022">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Chart:</w:t>
      </w:r>
      <w:r>
        <w:rPr>
          <w:rFonts w:hint="default" w:ascii="Times New Roman" w:hAnsi="Times New Roman" w:cs="Times New Roman"/>
          <w:sz w:val="22"/>
          <w:szCs w:val="22"/>
        </w:rPr>
        <w:t xml:space="preserve"> "Total Annuity Amount from different Genders"</w:t>
      </w:r>
    </w:p>
    <w:p w14:paraId="380CEC45">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Insight:</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Females</w:t>
      </w:r>
      <w:r>
        <w:rPr>
          <w:rFonts w:hint="default" w:ascii="Times New Roman" w:hAnsi="Times New Roman" w:cs="Times New Roman"/>
          <w:sz w:val="22"/>
          <w:szCs w:val="22"/>
        </w:rPr>
        <w:t xml:space="preserve"> account for the majority of the total annuity amount (</w:t>
      </w:r>
      <w:r>
        <w:rPr>
          <w:rFonts w:hint="default" w:ascii="Times New Roman" w:hAnsi="Times New Roman" w:cs="Times New Roman"/>
          <w:b/>
          <w:bCs/>
          <w:sz w:val="22"/>
          <w:szCs w:val="22"/>
        </w:rPr>
        <w:t>59.53%</w:t>
      </w:r>
      <w:r>
        <w:rPr>
          <w:rFonts w:hint="default" w:ascii="Times New Roman" w:hAnsi="Times New Roman" w:cs="Times New Roman"/>
          <w:sz w:val="22"/>
          <w:szCs w:val="22"/>
        </w:rPr>
        <w:t xml:space="preserve"> or 4.96bn), compared to </w:t>
      </w:r>
      <w:r>
        <w:rPr>
          <w:rFonts w:hint="default" w:ascii="Times New Roman" w:hAnsi="Times New Roman" w:cs="Times New Roman"/>
          <w:b/>
          <w:bCs/>
          <w:sz w:val="22"/>
          <w:szCs w:val="22"/>
        </w:rPr>
        <w:t>Males</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32.58%</w:t>
      </w:r>
      <w:r>
        <w:rPr>
          <w:rFonts w:hint="default" w:ascii="Times New Roman" w:hAnsi="Times New Roman" w:cs="Times New Roman"/>
          <w:sz w:val="22"/>
          <w:szCs w:val="22"/>
        </w:rPr>
        <w:t xml:space="preserve"> or 2.72bn). This aligns with the observation that females apply for loans more frequently than males.</w:t>
      </w:r>
    </w:p>
    <w:p w14:paraId="5742D1DC">
      <w:pPr>
        <w:rPr>
          <w:rFonts w:hint="default" w:ascii="Times New Roman" w:hAnsi="Times New Roman" w:cs="Times New Roman"/>
          <w:sz w:val="22"/>
          <w:szCs w:val="22"/>
        </w:rPr>
      </w:pPr>
      <w:r>
        <w:rPr>
          <w:rFonts w:hint="default" w:ascii="Times New Roman" w:hAnsi="Times New Roman" w:cs="Times New Roman"/>
          <w:sz w:val="22"/>
          <w:szCs w:val="22"/>
        </w:rPr>
        <w:pict>
          <v:rect id="_x0000_i1025" o:spt="1" style="height:1.5pt;width:0pt;" coordsize="21600,21600" o:hr="t" o:hrstd="t" o:hralign="center">
            <v:path/>
            <v:fill focussize="0,0"/>
            <v:stroke/>
            <v:imagedata o:title=""/>
            <o:lock v:ext="edit"/>
            <w10:wrap type="none"/>
            <w10:anchorlock/>
          </v:rect>
        </w:pict>
      </w:r>
    </w:p>
    <w:bookmarkEnd w:id="1"/>
    <w:bookmarkEnd w:id="5"/>
    <w:p w14:paraId="63B0D531">
      <w:pPr>
        <w:pStyle w:val="5"/>
        <w:rPr>
          <w:rFonts w:hint="default" w:ascii="Times New Roman" w:hAnsi="Times New Roman" w:cs="Times New Roman"/>
          <w:sz w:val="24"/>
          <w:szCs w:val="24"/>
        </w:rPr>
      </w:pPr>
      <w:bookmarkStart w:id="6" w:name="Xee9844669576e65859f89d223bd21d3aca620cc"/>
      <w:r>
        <w:rPr>
          <w:rFonts w:hint="default" w:ascii="Times New Roman" w:hAnsi="Times New Roman" w:cs="Times New Roman"/>
          <w:b/>
          <w:bCs/>
          <w:sz w:val="24"/>
          <w:szCs w:val="24"/>
        </w:rPr>
        <w:t>2. Previous Applications Distribution Dashboard</w:t>
      </w:r>
    </w:p>
    <w:p w14:paraId="03AD9746">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This dashboard page shifts focus from the current applicant profile to their </w:t>
      </w:r>
      <w:r>
        <w:rPr>
          <w:rFonts w:hint="default" w:ascii="Times New Roman" w:hAnsi="Times New Roman" w:cs="Times New Roman"/>
          <w:b/>
          <w:bCs/>
          <w:sz w:val="22"/>
          <w:szCs w:val="22"/>
        </w:rPr>
        <w:t>historical banking behavior</w:t>
      </w:r>
      <w:r>
        <w:rPr>
          <w:rFonts w:hint="default" w:ascii="Times New Roman" w:hAnsi="Times New Roman" w:cs="Times New Roman"/>
          <w:sz w:val="22"/>
          <w:szCs w:val="22"/>
        </w:rPr>
        <w:t>. By analyzing the 1.4 million previous application records, this view helps the credit team understand the relationship between a customer's past loyalty (frequency of borrowing) and their current risk profile.</w:t>
      </w:r>
    </w:p>
    <w:p w14:paraId="1B87FA2D">
      <w:pPr>
        <w:pStyle w:val="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3014345"/>
            <wp:effectExtent l="0" t="0" r="0" b="0"/>
            <wp:docPr id="18" name="Picture" descr="Previous Applications Distribu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Previous Applications Distribution Dashboard"/>
                    <pic:cNvPicPr>
                      <a:picLocks noChangeAspect="1" noChangeArrowheads="1"/>
                    </pic:cNvPicPr>
                  </pic:nvPicPr>
                  <pic:blipFill>
                    <a:blip r:embed="rId6"/>
                    <a:stretch>
                      <a:fillRect/>
                    </a:stretch>
                  </pic:blipFill>
                  <pic:spPr>
                    <a:xfrm>
                      <a:off x="0" y="0"/>
                      <a:ext cx="5334000" cy="3014869"/>
                    </a:xfrm>
                    <a:prstGeom prst="rect">
                      <a:avLst/>
                    </a:prstGeom>
                    <a:noFill/>
                    <a:ln w="9525">
                      <a:noFill/>
                    </a:ln>
                  </pic:spPr>
                </pic:pic>
              </a:graphicData>
            </a:graphic>
          </wp:inline>
        </w:drawing>
      </w:r>
    </w:p>
    <w:p w14:paraId="333060BD">
      <w:pPr>
        <w:pStyle w:val="6"/>
        <w:rPr>
          <w:rFonts w:hint="default" w:ascii="Times New Roman" w:hAnsi="Times New Roman" w:cs="Times New Roman"/>
          <w:sz w:val="22"/>
          <w:szCs w:val="22"/>
        </w:rPr>
      </w:pPr>
      <w:bookmarkStart w:id="7" w:name="X5499305985d8d61f5b2433970e8aa8a6ff2af1b"/>
      <w:r>
        <w:rPr>
          <w:rFonts w:hint="default" w:ascii="Times New Roman" w:hAnsi="Times New Roman" w:cs="Times New Roman"/>
          <w:b/>
          <w:bCs/>
          <w:sz w:val="22"/>
          <w:szCs w:val="22"/>
        </w:rPr>
        <w:t>Historical Volume &amp; Operational Metrics (KPIs)</w:t>
      </w:r>
    </w:p>
    <w:p w14:paraId="03DD885B">
      <w:pPr>
        <w:pStyle w:val="23"/>
        <w:rPr>
          <w:rFonts w:hint="default" w:ascii="Times New Roman" w:hAnsi="Times New Roman" w:cs="Times New Roman"/>
          <w:sz w:val="22"/>
          <w:szCs w:val="22"/>
        </w:rPr>
      </w:pPr>
      <w:r>
        <w:rPr>
          <w:rFonts w:hint="default" w:ascii="Times New Roman" w:hAnsi="Times New Roman" w:cs="Times New Roman"/>
          <w:sz w:val="22"/>
          <w:szCs w:val="22"/>
        </w:rPr>
        <w:t>The top header provides a summary of the operational scale and historical credit funnel:</w:t>
      </w:r>
    </w:p>
    <w:p w14:paraId="6C6B1E55">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Processing Volume:</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1.414M</w:t>
      </w:r>
      <w:r>
        <w:rPr>
          <w:rFonts w:hint="default" w:ascii="Times New Roman" w:hAnsi="Times New Roman" w:cs="Times New Roman"/>
          <w:sz w:val="22"/>
          <w:szCs w:val="22"/>
        </w:rPr>
        <w:t xml:space="preserve"> previous applications have been processed in total.</w:t>
      </w:r>
    </w:p>
    <w:p w14:paraId="1760087E">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Approval Volume:</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886K</w:t>
      </w:r>
      <w:r>
        <w:rPr>
          <w:rFonts w:hint="default" w:ascii="Times New Roman" w:hAnsi="Times New Roman" w:cs="Times New Roman"/>
          <w:sz w:val="22"/>
          <w:szCs w:val="22"/>
        </w:rPr>
        <w:t xml:space="preserve"> of these applications were approved, indicating a historically active lending environment.</w:t>
      </w:r>
    </w:p>
    <w:p w14:paraId="6FA18239">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Customer Base:</w:t>
      </w:r>
      <w:r>
        <w:rPr>
          <w:rFonts w:hint="default" w:ascii="Times New Roman" w:hAnsi="Times New Roman" w:cs="Times New Roman"/>
          <w:sz w:val="22"/>
          <w:szCs w:val="22"/>
        </w:rPr>
        <w:t xml:space="preserve"> These applications map back to </w:t>
      </w:r>
      <w:r>
        <w:rPr>
          <w:rFonts w:hint="default" w:ascii="Times New Roman" w:hAnsi="Times New Roman" w:cs="Times New Roman"/>
          <w:b/>
          <w:bCs/>
          <w:sz w:val="22"/>
          <w:szCs w:val="22"/>
        </w:rPr>
        <w:t>307.51K</w:t>
      </w:r>
      <w:r>
        <w:rPr>
          <w:rFonts w:hint="default" w:ascii="Times New Roman" w:hAnsi="Times New Roman" w:cs="Times New Roman"/>
          <w:sz w:val="22"/>
          <w:szCs w:val="22"/>
        </w:rPr>
        <w:t xml:space="preserve"> unique customers.</w:t>
      </w:r>
    </w:p>
    <w:p w14:paraId="2CD20187">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Financial Average:</w:t>
      </w:r>
      <w:r>
        <w:rPr>
          <w:rFonts w:hint="default" w:ascii="Times New Roman" w:hAnsi="Times New Roman" w:cs="Times New Roman"/>
          <w:sz w:val="22"/>
          <w:szCs w:val="22"/>
        </w:rPr>
        <w:t xml:space="preserve"> The average total loan amount per person historically stands at </w:t>
      </w:r>
      <w:r>
        <w:rPr>
          <w:rFonts w:hint="default" w:ascii="Times New Roman" w:hAnsi="Times New Roman" w:cs="Times New Roman"/>
          <w:b/>
          <w:bCs/>
          <w:sz w:val="22"/>
          <w:szCs w:val="22"/>
        </w:rPr>
        <w:t>902.69K</w:t>
      </w:r>
      <w:r>
        <w:rPr>
          <w:rFonts w:hint="default" w:ascii="Times New Roman" w:hAnsi="Times New Roman" w:cs="Times New Roman"/>
          <w:sz w:val="22"/>
          <w:szCs w:val="22"/>
        </w:rPr>
        <w:t xml:space="preserve">, with an average downpayment ratio of </w:t>
      </w:r>
      <w:r>
        <w:rPr>
          <w:rFonts w:hint="default" w:ascii="Times New Roman" w:hAnsi="Times New Roman" w:cs="Times New Roman"/>
          <w:b/>
          <w:bCs/>
          <w:sz w:val="22"/>
          <w:szCs w:val="22"/>
        </w:rPr>
        <w:t>0.09</w:t>
      </w:r>
      <w:r>
        <w:rPr>
          <w:rFonts w:hint="default" w:ascii="Times New Roman" w:hAnsi="Times New Roman" w:cs="Times New Roman"/>
          <w:sz w:val="22"/>
          <w:szCs w:val="22"/>
        </w:rPr>
        <w:t xml:space="preserve"> (9%).</w:t>
      </w:r>
    </w:p>
    <w:bookmarkEnd w:id="7"/>
    <w:p w14:paraId="470967A7">
      <w:pPr>
        <w:pStyle w:val="6"/>
        <w:rPr>
          <w:rFonts w:hint="default" w:ascii="Times New Roman" w:hAnsi="Times New Roman" w:cs="Times New Roman"/>
          <w:sz w:val="22"/>
          <w:szCs w:val="22"/>
        </w:rPr>
      </w:pPr>
      <w:bookmarkStart w:id="8" w:name="behavioral-ratios-gauge-indicators"/>
      <w:r>
        <w:rPr>
          <w:rFonts w:hint="default" w:ascii="Times New Roman" w:hAnsi="Times New Roman" w:cs="Times New Roman"/>
          <w:b/>
          <w:bCs/>
          <w:sz w:val="22"/>
          <w:szCs w:val="22"/>
        </w:rPr>
        <w:t>Behavioral Ratios (Gauge Indicators)</w:t>
      </w:r>
    </w:p>
    <w:p w14:paraId="281810BA">
      <w:pPr>
        <w:pStyle w:val="23"/>
        <w:rPr>
          <w:rFonts w:hint="default" w:ascii="Times New Roman" w:hAnsi="Times New Roman" w:cs="Times New Roman"/>
          <w:sz w:val="22"/>
          <w:szCs w:val="22"/>
        </w:rPr>
      </w:pPr>
      <w:r>
        <w:rPr>
          <w:rFonts w:hint="default" w:ascii="Times New Roman" w:hAnsi="Times New Roman" w:cs="Times New Roman"/>
          <w:sz w:val="22"/>
          <w:szCs w:val="22"/>
        </w:rPr>
        <w:t>The second row visualizes the efficiency and nature of past lending:</w:t>
      </w:r>
    </w:p>
    <w:p w14:paraId="4E271F44">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Average Approval Rate (0.71):</w:t>
      </w:r>
      <w:r>
        <w:rPr>
          <w:rFonts w:hint="default" w:ascii="Times New Roman" w:hAnsi="Times New Roman" w:cs="Times New Roman"/>
          <w:sz w:val="22"/>
          <w:szCs w:val="22"/>
        </w:rPr>
        <w:t xml:space="preserve"> Approximately 71% of past applications were approved, suggesting a moderately lenient historical approval policy.</w:t>
      </w:r>
    </w:p>
    <w:p w14:paraId="049F6432">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Average Risk Ratio (0.08):</w:t>
      </w:r>
      <w:r>
        <w:rPr>
          <w:rFonts w:hint="default" w:ascii="Times New Roman" w:hAnsi="Times New Roman" w:cs="Times New Roman"/>
          <w:sz w:val="22"/>
          <w:szCs w:val="22"/>
        </w:rPr>
        <w:t xml:space="preserve"> Consistent with the main overview, the historical risk ratio hovers at 8%.</w:t>
      </w:r>
    </w:p>
    <w:p w14:paraId="2241B54E">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Average Loan Duration (13.73 months):</w:t>
      </w:r>
      <w:r>
        <w:rPr>
          <w:rFonts w:hint="default" w:ascii="Times New Roman" w:hAnsi="Times New Roman" w:cs="Times New Roman"/>
          <w:sz w:val="22"/>
          <w:szCs w:val="22"/>
        </w:rPr>
        <w:t xml:space="preserve"> Most historical loans were short-term, averaging just over 1 year.</w:t>
      </w:r>
    </w:p>
    <w:p w14:paraId="2D7539BC">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Consumer Loans Ratio (0.55):</w:t>
      </w:r>
      <w:r>
        <w:rPr>
          <w:rFonts w:hint="default" w:ascii="Times New Roman" w:hAnsi="Times New Roman" w:cs="Times New Roman"/>
          <w:sz w:val="22"/>
          <w:szCs w:val="22"/>
        </w:rPr>
        <w:t xml:space="preserve"> Over half (55%) of past lending activity was driven by consumer loans rather than cash loans.</w:t>
      </w:r>
    </w:p>
    <w:bookmarkEnd w:id="8"/>
    <w:p w14:paraId="5478D9C7">
      <w:pPr>
        <w:pStyle w:val="6"/>
        <w:rPr>
          <w:rFonts w:hint="default" w:ascii="Times New Roman" w:hAnsi="Times New Roman" w:cs="Times New Roman"/>
          <w:sz w:val="22"/>
          <w:szCs w:val="22"/>
        </w:rPr>
      </w:pPr>
      <w:bookmarkStart w:id="9" w:name="X1d1bbdb2136672a60d98d8237ae9408ddddd624"/>
      <w:r>
        <w:rPr>
          <w:rFonts w:hint="default" w:ascii="Times New Roman" w:hAnsi="Times New Roman" w:cs="Times New Roman"/>
          <w:b/>
          <w:bCs/>
          <w:sz w:val="22"/>
          <w:szCs w:val="22"/>
        </w:rPr>
        <w:t>Key Visual Insight: The "Loyalty vs. Risk" Curve</w:t>
      </w:r>
    </w:p>
    <w:p w14:paraId="650B1A60">
      <w:pPr>
        <w:pStyle w:val="23"/>
        <w:rPr>
          <w:rFonts w:hint="default" w:ascii="Times New Roman" w:hAnsi="Times New Roman" w:cs="Times New Roman"/>
          <w:sz w:val="22"/>
          <w:szCs w:val="22"/>
        </w:rPr>
      </w:pPr>
      <w:r>
        <w:rPr>
          <w:rFonts w:hint="default" w:ascii="Times New Roman" w:hAnsi="Times New Roman" w:cs="Times New Roman"/>
          <w:b/>
          <w:bCs/>
          <w:sz w:val="22"/>
          <w:szCs w:val="22"/>
        </w:rPr>
        <w:t>Chart: Risk Ratio with Previous Applications Approved</w:t>
      </w:r>
      <w:r>
        <w:rPr>
          <w:rFonts w:hint="default" w:ascii="Times New Roman" w:hAnsi="Times New Roman" w:cs="Times New Roman"/>
          <w:sz w:val="22"/>
          <w:szCs w:val="22"/>
        </w:rPr>
        <w:t xml:space="preserve"> This combination chart is the centerpiece of the historical analysis, plotting </w:t>
      </w:r>
      <w:r>
        <w:rPr>
          <w:rFonts w:hint="default" w:ascii="Times New Roman" w:hAnsi="Times New Roman" w:cs="Times New Roman"/>
          <w:b/>
          <w:bCs/>
          <w:sz w:val="22"/>
          <w:szCs w:val="22"/>
        </w:rPr>
        <w:t>"Applications Approved"</w:t>
      </w:r>
      <w:r>
        <w:rPr>
          <w:rFonts w:hint="default" w:ascii="Times New Roman" w:hAnsi="Times New Roman" w:cs="Times New Roman"/>
          <w:sz w:val="22"/>
          <w:szCs w:val="22"/>
        </w:rPr>
        <w:t xml:space="preserve"> (X-axis) against </w:t>
      </w:r>
      <w:r>
        <w:rPr>
          <w:rFonts w:hint="default" w:ascii="Times New Roman" w:hAnsi="Times New Roman" w:cs="Times New Roman"/>
          <w:b/>
          <w:bCs/>
          <w:sz w:val="22"/>
          <w:szCs w:val="22"/>
        </w:rPr>
        <w:t>"Total Loan Amount"</w:t>
      </w:r>
      <w:r>
        <w:rPr>
          <w:rFonts w:hint="default" w:ascii="Times New Roman" w:hAnsi="Times New Roman" w:cs="Times New Roman"/>
          <w:sz w:val="22"/>
          <w:szCs w:val="22"/>
        </w:rPr>
        <w:t xml:space="preserve"> (Bars) and </w:t>
      </w:r>
      <w:r>
        <w:rPr>
          <w:rFonts w:hint="default" w:ascii="Times New Roman" w:hAnsi="Times New Roman" w:cs="Times New Roman"/>
          <w:b/>
          <w:bCs/>
          <w:sz w:val="22"/>
          <w:szCs w:val="22"/>
        </w:rPr>
        <w:t>"Risk Ratio"</w:t>
      </w:r>
      <w:r>
        <w:rPr>
          <w:rFonts w:hint="default" w:ascii="Times New Roman" w:hAnsi="Times New Roman" w:cs="Times New Roman"/>
          <w:sz w:val="22"/>
          <w:szCs w:val="22"/>
        </w:rPr>
        <w:t xml:space="preserve"> (Line).</w:t>
      </w:r>
    </w:p>
    <w:p w14:paraId="39C295CB">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Loan Amount Trend (Bars):</w:t>
      </w:r>
      <w:r>
        <w:rPr>
          <w:rFonts w:hint="default" w:ascii="Times New Roman" w:hAnsi="Times New Roman" w:cs="Times New Roman"/>
          <w:sz w:val="22"/>
          <w:szCs w:val="22"/>
        </w:rPr>
        <w:t xml:space="preserve"> There is a clear positive correlation between approval frequency and loan size. Customers with more approved applications (moving right on the X-axis) consistently secure higher total loan amounts, peaking near the 20-approval mark.</w:t>
      </w:r>
    </w:p>
    <w:p w14:paraId="24E57590">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Risk Trend (Line):</w:t>
      </w:r>
      <w:r>
        <w:rPr>
          <w:rFonts w:hint="default" w:ascii="Times New Roman" w:hAnsi="Times New Roman" w:cs="Times New Roman"/>
          <w:sz w:val="22"/>
          <w:szCs w:val="22"/>
        </w:rPr>
        <w:t xml:space="preserve"> The risk ratio (dark blue line) remains relatively stable between </w:t>
      </w:r>
      <w:r>
        <w:rPr>
          <w:rFonts w:hint="default" w:ascii="Times New Roman" w:hAnsi="Times New Roman" w:cs="Times New Roman"/>
          <w:b/>
          <w:bCs/>
          <w:sz w:val="22"/>
          <w:szCs w:val="22"/>
        </w:rPr>
        <w:t>6% and 8%</w:t>
      </w:r>
      <w:r>
        <w:rPr>
          <w:rFonts w:hint="default" w:ascii="Times New Roman" w:hAnsi="Times New Roman" w:cs="Times New Roman"/>
          <w:sz w:val="22"/>
          <w:szCs w:val="22"/>
        </w:rPr>
        <w:t xml:space="preserve"> for customers with 1–15 past approvals. However, it shows volatility and a sharp decline for "super-borrowers" (20+ approvals), potentially indicating that highly frequent borrowers are either very safe or represent a distinct outlier segment.</w:t>
      </w:r>
    </w:p>
    <w:bookmarkEnd w:id="9"/>
    <w:p w14:paraId="036DF5D0">
      <w:pPr>
        <w:pStyle w:val="6"/>
        <w:rPr>
          <w:rFonts w:hint="default" w:ascii="Times New Roman" w:hAnsi="Times New Roman" w:cs="Times New Roman"/>
          <w:sz w:val="22"/>
          <w:szCs w:val="22"/>
        </w:rPr>
      </w:pPr>
      <w:bookmarkStart w:id="10" w:name="interactive-filters-1"/>
      <w:r>
        <w:rPr>
          <w:rFonts w:hint="default" w:ascii="Times New Roman" w:hAnsi="Times New Roman" w:cs="Times New Roman"/>
          <w:b/>
          <w:bCs/>
          <w:sz w:val="22"/>
          <w:szCs w:val="22"/>
        </w:rPr>
        <w:t>Interactive Filters</w:t>
      </w:r>
    </w:p>
    <w:p w14:paraId="1EE8F475">
      <w:pPr>
        <w:pStyle w:val="23"/>
        <w:rPr>
          <w:rFonts w:hint="default" w:ascii="Times New Roman" w:hAnsi="Times New Roman" w:cs="Times New Roman"/>
          <w:sz w:val="22"/>
          <w:szCs w:val="22"/>
        </w:rPr>
      </w:pPr>
      <w:r>
        <w:rPr>
          <w:rFonts w:hint="default" w:ascii="Times New Roman" w:hAnsi="Times New Roman" w:cs="Times New Roman"/>
          <w:sz w:val="22"/>
          <w:szCs w:val="22"/>
        </w:rPr>
        <w:t>This page allows for deep-diving into specific risk cohorts using:</w:t>
      </w:r>
    </w:p>
    <w:p w14:paraId="6C9D18D2">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Current Application Category:</w:t>
      </w:r>
      <w:r>
        <w:rPr>
          <w:rFonts w:hint="default" w:ascii="Times New Roman" w:hAnsi="Times New Roman" w:cs="Times New Roman"/>
          <w:sz w:val="22"/>
          <w:szCs w:val="22"/>
        </w:rPr>
        <w:t xml:space="preserve"> Toggle between </w:t>
      </w:r>
      <w:r>
        <w:rPr>
          <w:rFonts w:hint="default" w:ascii="Times New Roman" w:hAnsi="Times New Roman" w:cs="Times New Roman"/>
          <w:b/>
          <w:bCs/>
          <w:sz w:val="22"/>
          <w:szCs w:val="22"/>
        </w:rPr>
        <w:t>Defaulted</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Not Defaulted</w:t>
      </w:r>
      <w:r>
        <w:rPr>
          <w:rFonts w:hint="default" w:ascii="Times New Roman" w:hAnsi="Times New Roman" w:cs="Times New Roman"/>
          <w:sz w:val="22"/>
          <w:szCs w:val="22"/>
        </w:rPr>
        <w:t xml:space="preserve"> to see if past history differs for current defaulters.</w:t>
      </w:r>
    </w:p>
    <w:p w14:paraId="0A6441E9">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Approval Frequency Slider:</w:t>
      </w:r>
      <w:r>
        <w:rPr>
          <w:rFonts w:hint="default" w:ascii="Times New Roman" w:hAnsi="Times New Roman" w:cs="Times New Roman"/>
          <w:sz w:val="22"/>
          <w:szCs w:val="22"/>
        </w:rPr>
        <w:t xml:space="preserve"> Filter for customers with a specific range of past approvals (e.g., 0 to 27).</w:t>
      </w:r>
    </w:p>
    <w:p w14:paraId="6D212807">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Demographics:</w:t>
      </w:r>
      <w:r>
        <w:rPr>
          <w:rFonts w:hint="default" w:ascii="Times New Roman" w:hAnsi="Times New Roman" w:cs="Times New Roman"/>
          <w:sz w:val="22"/>
          <w:szCs w:val="22"/>
        </w:rPr>
        <w:t xml:space="preserve"> Filters for </w:t>
      </w:r>
      <w:r>
        <w:rPr>
          <w:rFonts w:hint="default" w:ascii="Times New Roman" w:hAnsi="Times New Roman" w:cs="Times New Roman"/>
          <w:b/>
          <w:bCs/>
          <w:sz w:val="22"/>
          <w:szCs w:val="22"/>
        </w:rPr>
        <w:t>Gender</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Age</w:t>
      </w:r>
      <w:r>
        <w:rPr>
          <w:rFonts w:hint="default" w:ascii="Times New Roman" w:hAnsi="Times New Roman" w:cs="Times New Roman"/>
          <w:sz w:val="22"/>
          <w:szCs w:val="22"/>
        </w:rPr>
        <w:t xml:space="preserve"> allow for segmentation of historical trends.</w:t>
      </w:r>
    </w:p>
    <w:p w14:paraId="4DFE9DC9">
      <w:pPr>
        <w:rPr>
          <w:rFonts w:hint="default" w:ascii="Times New Roman" w:hAnsi="Times New Roman" w:cs="Times New Roman"/>
          <w:sz w:val="22"/>
          <w:szCs w:val="22"/>
        </w:rPr>
      </w:pPr>
      <w:r>
        <w:rPr>
          <w:rFonts w:hint="default" w:ascii="Times New Roman" w:hAnsi="Times New Roman" w:cs="Times New Roman"/>
          <w:sz w:val="22"/>
          <w:szCs w:val="22"/>
        </w:rPr>
        <w:pict>
          <v:rect id="_x0000_i1026" o:spt="1" style="height:1.5pt;width:0pt;" coordsize="21600,21600" o:hr="t" o:hrstd="t" o:hralign="center">
            <v:path/>
            <v:fill focussize="0,0"/>
            <v:stroke/>
            <v:imagedata o:title=""/>
            <o:lock v:ext="edit"/>
            <w10:wrap type="none"/>
            <w10:anchorlock/>
          </v:rect>
        </w:pict>
      </w:r>
    </w:p>
    <w:bookmarkEnd w:id="6"/>
    <w:bookmarkEnd w:id="10"/>
    <w:p w14:paraId="7622EC90">
      <w:pPr>
        <w:pStyle w:val="5"/>
        <w:rPr>
          <w:rFonts w:hint="default" w:ascii="Times New Roman" w:hAnsi="Times New Roman" w:cs="Times New Roman"/>
          <w:sz w:val="24"/>
          <w:szCs w:val="24"/>
        </w:rPr>
      </w:pPr>
      <w:bookmarkStart w:id="11" w:name="Xd7464b8a08c1e4a31971905964178de8950e717"/>
      <w:r>
        <w:rPr>
          <w:rFonts w:hint="default" w:ascii="Times New Roman" w:hAnsi="Times New Roman" w:cs="Times New Roman"/>
          <w:b/>
          <w:bCs/>
          <w:sz w:val="24"/>
          <w:szCs w:val="24"/>
        </w:rPr>
        <w:t>3. Current Applications Distribution Dashboard</w:t>
      </w:r>
    </w:p>
    <w:p w14:paraId="2726B0D6">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This dashboard page focuses on the </w:t>
      </w:r>
      <w:r>
        <w:rPr>
          <w:rFonts w:hint="default" w:ascii="Times New Roman" w:hAnsi="Times New Roman" w:cs="Times New Roman"/>
          <w:b/>
          <w:bCs/>
          <w:sz w:val="22"/>
          <w:szCs w:val="22"/>
        </w:rPr>
        <w:t>sociodemographic profile</w:t>
      </w:r>
      <w:r>
        <w:rPr>
          <w:rFonts w:hint="default" w:ascii="Times New Roman" w:hAnsi="Times New Roman" w:cs="Times New Roman"/>
          <w:sz w:val="22"/>
          <w:szCs w:val="22"/>
        </w:rPr>
        <w:t xml:space="preserve"> of the current applicant pool. Unlike the risk-centric views, this page is descriptive, helping the business understand </w:t>
      </w:r>
      <w:r>
        <w:rPr>
          <w:rFonts w:hint="default" w:ascii="Times New Roman" w:hAnsi="Times New Roman" w:cs="Times New Roman"/>
          <w:i/>
          <w:iCs/>
          <w:sz w:val="22"/>
          <w:szCs w:val="22"/>
        </w:rPr>
        <w:t>who</w:t>
      </w:r>
      <w:r>
        <w:rPr>
          <w:rFonts w:hint="default" w:ascii="Times New Roman" w:hAnsi="Times New Roman" w:cs="Times New Roman"/>
          <w:sz w:val="22"/>
          <w:szCs w:val="22"/>
        </w:rPr>
        <w:t xml:space="preserve"> is applying for loans. It analyzes the distribution of applicants across gender, family status, asset ownership, and employment sectors.</w:t>
      </w:r>
    </w:p>
    <w:p w14:paraId="0D7EE13C">
      <w:pPr>
        <w:pStyle w:val="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3036570"/>
            <wp:effectExtent l="0" t="0" r="0" b="0"/>
            <wp:docPr id="26" name="Picture" descr=" Current Applications Distribu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 Current Applications Distribution Dashboard"/>
                    <pic:cNvPicPr>
                      <a:picLocks noChangeAspect="1" noChangeArrowheads="1"/>
                    </pic:cNvPicPr>
                  </pic:nvPicPr>
                  <pic:blipFill>
                    <a:blip r:embed="rId7"/>
                    <a:stretch>
                      <a:fillRect/>
                    </a:stretch>
                  </pic:blipFill>
                  <pic:spPr>
                    <a:xfrm>
                      <a:off x="0" y="0"/>
                      <a:ext cx="5334000" cy="3036842"/>
                    </a:xfrm>
                    <a:prstGeom prst="rect">
                      <a:avLst/>
                    </a:prstGeom>
                    <a:noFill/>
                    <a:ln w="9525">
                      <a:noFill/>
                    </a:ln>
                  </pic:spPr>
                </pic:pic>
              </a:graphicData>
            </a:graphic>
          </wp:inline>
        </w:drawing>
      </w:r>
    </w:p>
    <w:p w14:paraId="35A00DB8">
      <w:pPr>
        <w:pStyle w:val="6"/>
        <w:rPr>
          <w:rFonts w:hint="default" w:ascii="Times New Roman" w:hAnsi="Times New Roman" w:cs="Times New Roman"/>
          <w:sz w:val="22"/>
          <w:szCs w:val="22"/>
        </w:rPr>
      </w:pPr>
      <w:bookmarkStart w:id="12" w:name="key-portfolio-volume"/>
      <w:r>
        <w:rPr>
          <w:rFonts w:hint="default" w:ascii="Times New Roman" w:hAnsi="Times New Roman" w:cs="Times New Roman"/>
          <w:b/>
          <w:bCs/>
          <w:sz w:val="22"/>
          <w:szCs w:val="22"/>
        </w:rPr>
        <w:t>Key Portfolio Volume</w:t>
      </w:r>
    </w:p>
    <w:p w14:paraId="2D293C10">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Total Applications:</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307.51K</w:t>
      </w:r>
      <w:r>
        <w:rPr>
          <w:rFonts w:hint="default" w:ascii="Times New Roman" w:hAnsi="Times New Roman" w:cs="Times New Roman"/>
          <w:sz w:val="22"/>
          <w:szCs w:val="22"/>
        </w:rPr>
        <w:t xml:space="preserve"> unique applications are profiled here.</w:t>
      </w:r>
    </w:p>
    <w:p w14:paraId="0C07CE62">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Risk Context:</w:t>
      </w:r>
      <w:r>
        <w:rPr>
          <w:rFonts w:hint="default" w:ascii="Times New Roman" w:hAnsi="Times New Roman" w:cs="Times New Roman"/>
          <w:sz w:val="22"/>
          <w:szCs w:val="22"/>
        </w:rPr>
        <w:t xml:space="preserve"> Of these, </w:t>
      </w:r>
      <w:r>
        <w:rPr>
          <w:rFonts w:hint="default" w:ascii="Times New Roman" w:hAnsi="Times New Roman" w:cs="Times New Roman"/>
          <w:b/>
          <w:bCs/>
          <w:sz w:val="22"/>
          <w:szCs w:val="22"/>
        </w:rPr>
        <w:t>25K</w:t>
      </w:r>
      <w:r>
        <w:rPr>
          <w:rFonts w:hint="default" w:ascii="Times New Roman" w:hAnsi="Times New Roman" w:cs="Times New Roman"/>
          <w:sz w:val="22"/>
          <w:szCs w:val="22"/>
        </w:rPr>
        <w:t xml:space="preserve"> are flagged as risk-associated, keeping the consistent 8% baseline visible for reference.</w:t>
      </w:r>
    </w:p>
    <w:bookmarkEnd w:id="12"/>
    <w:p w14:paraId="75B0B7DC">
      <w:pPr>
        <w:pStyle w:val="6"/>
        <w:rPr>
          <w:rFonts w:hint="default" w:ascii="Times New Roman" w:hAnsi="Times New Roman" w:cs="Times New Roman"/>
          <w:sz w:val="22"/>
          <w:szCs w:val="22"/>
        </w:rPr>
      </w:pPr>
      <w:bookmarkStart w:id="13" w:name="X3a5acad2555f55c7a434d1e8bd54daad1694827"/>
      <w:r>
        <w:rPr>
          <w:rFonts w:hint="default" w:ascii="Times New Roman" w:hAnsi="Times New Roman" w:cs="Times New Roman"/>
          <w:b/>
          <w:bCs/>
          <w:sz w:val="22"/>
          <w:szCs w:val="22"/>
        </w:rPr>
        <w:t>1. Gender &amp; Asset Ownership</w:t>
      </w:r>
    </w:p>
    <w:p w14:paraId="27537CE0">
      <w:pPr>
        <w:pStyle w:val="23"/>
        <w:rPr>
          <w:rFonts w:hint="default" w:ascii="Times New Roman" w:hAnsi="Times New Roman" w:cs="Times New Roman"/>
          <w:sz w:val="22"/>
          <w:szCs w:val="22"/>
        </w:rPr>
      </w:pPr>
      <w:r>
        <w:rPr>
          <w:rFonts w:hint="default" w:ascii="Times New Roman" w:hAnsi="Times New Roman" w:cs="Times New Roman"/>
          <w:sz w:val="22"/>
          <w:szCs w:val="22"/>
        </w:rPr>
        <w:t>These visualizations highlight the gender imbalance and asset liquidity of the portfolio:</w:t>
      </w:r>
    </w:p>
    <w:p w14:paraId="5CAD6B57">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Gender Split:</w:t>
      </w:r>
      <w:r>
        <w:rPr>
          <w:rFonts w:hint="default" w:ascii="Times New Roman" w:hAnsi="Times New Roman" w:cs="Times New Roman"/>
          <w:sz w:val="22"/>
          <w:szCs w:val="22"/>
        </w:rPr>
        <w:t xml:space="preserve"> The portfolio is predominantly female. </w:t>
      </w:r>
      <w:r>
        <w:rPr>
          <w:rFonts w:hint="default" w:ascii="Times New Roman" w:hAnsi="Times New Roman" w:cs="Times New Roman"/>
          <w:b/>
          <w:bCs/>
          <w:sz w:val="22"/>
          <w:szCs w:val="22"/>
        </w:rPr>
        <w:t>Female applicants</w:t>
      </w:r>
      <w:r>
        <w:rPr>
          <w:rFonts w:hint="default" w:ascii="Times New Roman" w:hAnsi="Times New Roman" w:cs="Times New Roman"/>
          <w:sz w:val="22"/>
          <w:szCs w:val="22"/>
        </w:rPr>
        <w:t xml:space="preserve"> account for </w:t>
      </w:r>
      <w:r>
        <w:rPr>
          <w:rFonts w:hint="default" w:ascii="Times New Roman" w:hAnsi="Times New Roman" w:cs="Times New Roman"/>
          <w:b/>
          <w:bCs/>
          <w:sz w:val="22"/>
          <w:szCs w:val="22"/>
        </w:rPr>
        <w:t>65.84%</w:t>
      </w:r>
      <w:r>
        <w:rPr>
          <w:rFonts w:hint="default" w:ascii="Times New Roman" w:hAnsi="Times New Roman" w:cs="Times New Roman"/>
          <w:sz w:val="22"/>
          <w:szCs w:val="22"/>
        </w:rPr>
        <w:t xml:space="preserve"> (202.45K) of the volume, while males account for </w:t>
      </w:r>
      <w:r>
        <w:rPr>
          <w:rFonts w:hint="default" w:ascii="Times New Roman" w:hAnsi="Times New Roman" w:cs="Times New Roman"/>
          <w:b/>
          <w:bCs/>
          <w:sz w:val="22"/>
          <w:szCs w:val="22"/>
        </w:rPr>
        <w:t>34.16%</w:t>
      </w:r>
      <w:r>
        <w:rPr>
          <w:rFonts w:hint="default" w:ascii="Times New Roman" w:hAnsi="Times New Roman" w:cs="Times New Roman"/>
          <w:sz w:val="22"/>
          <w:szCs w:val="22"/>
        </w:rPr>
        <w:t xml:space="preserve"> (105.06K).</w:t>
      </w:r>
    </w:p>
    <w:p w14:paraId="633CD38B">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Real Estate:</w:t>
      </w:r>
      <w:r>
        <w:rPr>
          <w:rFonts w:hint="default" w:ascii="Times New Roman" w:hAnsi="Times New Roman" w:cs="Times New Roman"/>
          <w:sz w:val="22"/>
          <w:szCs w:val="22"/>
        </w:rPr>
        <w:t xml:space="preserve"> A significant majority, </w:t>
      </w:r>
      <w:r>
        <w:rPr>
          <w:rFonts w:hint="default" w:ascii="Times New Roman" w:hAnsi="Times New Roman" w:cs="Times New Roman"/>
          <w:b/>
          <w:bCs/>
          <w:sz w:val="22"/>
          <w:szCs w:val="22"/>
        </w:rPr>
        <w:t>69.37%</w:t>
      </w:r>
      <w:r>
        <w:rPr>
          <w:rFonts w:hint="default" w:ascii="Times New Roman" w:hAnsi="Times New Roman" w:cs="Times New Roman"/>
          <w:sz w:val="22"/>
          <w:szCs w:val="22"/>
        </w:rPr>
        <w:t xml:space="preserve"> (213.31K), own their own home or realty, suggesting a base level of asset stability for most applicants.</w:t>
      </w:r>
    </w:p>
    <w:p w14:paraId="1474E051">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Vehicle Ownership:</w:t>
      </w:r>
      <w:r>
        <w:rPr>
          <w:rFonts w:hint="default" w:ascii="Times New Roman" w:hAnsi="Times New Roman" w:cs="Times New Roman"/>
          <w:sz w:val="22"/>
          <w:szCs w:val="22"/>
        </w:rPr>
        <w:t xml:space="preserve"> In contrast to housing, car ownership is lower. </w:t>
      </w:r>
      <w:r>
        <w:rPr>
          <w:rFonts w:hint="default" w:ascii="Times New Roman" w:hAnsi="Times New Roman" w:cs="Times New Roman"/>
          <w:b/>
          <w:bCs/>
          <w:sz w:val="22"/>
          <w:szCs w:val="22"/>
        </w:rPr>
        <w:t>65.99%</w:t>
      </w:r>
      <w:r>
        <w:rPr>
          <w:rFonts w:hint="default" w:ascii="Times New Roman" w:hAnsi="Times New Roman" w:cs="Times New Roman"/>
          <w:sz w:val="22"/>
          <w:szCs w:val="22"/>
        </w:rPr>
        <w:t xml:space="preserve"> of applicants do </w:t>
      </w:r>
      <w:r>
        <w:rPr>
          <w:rFonts w:hint="default" w:ascii="Times New Roman" w:hAnsi="Times New Roman" w:cs="Times New Roman"/>
          <w:i/>
          <w:iCs/>
          <w:sz w:val="22"/>
          <w:szCs w:val="22"/>
        </w:rPr>
        <w:t>not</w:t>
      </w:r>
      <w:r>
        <w:rPr>
          <w:rFonts w:hint="default" w:ascii="Times New Roman" w:hAnsi="Times New Roman" w:cs="Times New Roman"/>
          <w:sz w:val="22"/>
          <w:szCs w:val="22"/>
        </w:rPr>
        <w:t xml:space="preserve"> own a car, which may correlate with the high volume of applications from lower-to-middle income segments.</w:t>
      </w:r>
    </w:p>
    <w:bookmarkEnd w:id="13"/>
    <w:p w14:paraId="23285CB2">
      <w:pPr>
        <w:pStyle w:val="6"/>
        <w:rPr>
          <w:rFonts w:hint="default" w:ascii="Times New Roman" w:hAnsi="Times New Roman" w:cs="Times New Roman"/>
          <w:sz w:val="22"/>
          <w:szCs w:val="22"/>
        </w:rPr>
      </w:pPr>
      <w:bookmarkStart w:id="14" w:name="X5dacae636ef60c9b9946d687c0cabad9370ed0f"/>
      <w:r>
        <w:rPr>
          <w:rFonts w:hint="default" w:ascii="Times New Roman" w:hAnsi="Times New Roman" w:cs="Times New Roman"/>
          <w:b/>
          <w:bCs/>
          <w:sz w:val="22"/>
          <w:szCs w:val="22"/>
        </w:rPr>
        <w:t>2. Family &amp; Social Structure</w:t>
      </w:r>
    </w:p>
    <w:p w14:paraId="0246276A">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Family Status:</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Married</w:t>
      </w:r>
      <w:r>
        <w:rPr>
          <w:rFonts w:hint="default" w:ascii="Times New Roman" w:hAnsi="Times New Roman" w:cs="Times New Roman"/>
          <w:sz w:val="22"/>
          <w:szCs w:val="22"/>
        </w:rPr>
        <w:t xml:space="preserve"> individuals form the overwhelming majority of applicants, representing </w:t>
      </w:r>
      <w:r>
        <w:rPr>
          <w:rFonts w:hint="default" w:ascii="Times New Roman" w:hAnsi="Times New Roman" w:cs="Times New Roman"/>
          <w:b/>
          <w:bCs/>
          <w:sz w:val="22"/>
          <w:szCs w:val="22"/>
        </w:rPr>
        <w:t>63.81%</w:t>
      </w:r>
      <w:r>
        <w:rPr>
          <w:rFonts w:hint="default" w:ascii="Times New Roman" w:hAnsi="Times New Roman" w:cs="Times New Roman"/>
          <w:sz w:val="22"/>
          <w:szCs w:val="22"/>
        </w:rPr>
        <w:t xml:space="preserve"> of the total. Single applicants follow at </w:t>
      </w:r>
      <w:r>
        <w:rPr>
          <w:rFonts w:hint="default" w:ascii="Times New Roman" w:hAnsi="Times New Roman" w:cs="Times New Roman"/>
          <w:b/>
          <w:bCs/>
          <w:sz w:val="22"/>
          <w:szCs w:val="22"/>
        </w:rPr>
        <w:t>14.82%</w:t>
      </w:r>
      <w:r>
        <w:rPr>
          <w:rFonts w:hint="default" w:ascii="Times New Roman" w:hAnsi="Times New Roman" w:cs="Times New Roman"/>
          <w:sz w:val="22"/>
          <w:szCs w:val="22"/>
        </w:rPr>
        <w:t>, with Civil Marriage (9.69%), Separated, and Widows making up the remainder.</w:t>
      </w:r>
    </w:p>
    <w:p w14:paraId="239E484C">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Income Source:</w:t>
      </w:r>
      <w:r>
        <w:rPr>
          <w:rFonts w:hint="default" w:ascii="Times New Roman" w:hAnsi="Times New Roman" w:cs="Times New Roman"/>
          <w:sz w:val="22"/>
          <w:szCs w:val="22"/>
        </w:rPr>
        <w:t xml:space="preserve"> The "Working" class (blue collar/general workforce) submits the highest volume of applications (~0.16M), followed by "Commercial" associates (~0.07M) and Pensioners (~0.06M).</w:t>
      </w:r>
    </w:p>
    <w:bookmarkEnd w:id="14"/>
    <w:p w14:paraId="796BC9F8">
      <w:pPr>
        <w:pStyle w:val="6"/>
        <w:rPr>
          <w:rFonts w:hint="default" w:ascii="Times New Roman" w:hAnsi="Times New Roman" w:cs="Times New Roman"/>
          <w:sz w:val="22"/>
          <w:szCs w:val="22"/>
        </w:rPr>
      </w:pPr>
      <w:bookmarkStart w:id="15" w:name="Xbdf836572ddd99159d854a1abece60cd585fdb6"/>
      <w:r>
        <w:rPr>
          <w:rFonts w:hint="default" w:ascii="Times New Roman" w:hAnsi="Times New Roman" w:cs="Times New Roman"/>
          <w:b/>
          <w:bCs/>
          <w:sz w:val="22"/>
          <w:szCs w:val="22"/>
        </w:rPr>
        <w:t>3. Economic &amp; Geographic Distribution</w:t>
      </w:r>
    </w:p>
    <w:p w14:paraId="48A82820">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City Population Density:</w:t>
      </w:r>
      <w:r>
        <w:rPr>
          <w:rFonts w:hint="default" w:ascii="Times New Roman" w:hAnsi="Times New Roman" w:cs="Times New Roman"/>
          <w:sz w:val="22"/>
          <w:szCs w:val="22"/>
        </w:rPr>
        <w:t xml:space="preserve"> The application volume is remarkably balanced across different living environments. High, Medium, Low, and Very Low population density regions each contribute roughly </w:t>
      </w:r>
      <w:r>
        <w:rPr>
          <w:rFonts w:hint="default" w:ascii="Times New Roman" w:hAnsi="Times New Roman" w:cs="Times New Roman"/>
          <w:b/>
          <w:bCs/>
          <w:sz w:val="22"/>
          <w:szCs w:val="22"/>
        </w:rPr>
        <w:t>25%</w:t>
      </w:r>
      <w:r>
        <w:rPr>
          <w:rFonts w:hint="default" w:ascii="Times New Roman" w:hAnsi="Times New Roman" w:cs="Times New Roman"/>
          <w:sz w:val="22"/>
          <w:szCs w:val="22"/>
        </w:rPr>
        <w:t xml:space="preserve"> of the total volume, indicating the lender has a consistent market penetration across both urban and rural settings.</w:t>
      </w:r>
    </w:p>
    <w:p w14:paraId="788E0760">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Annuity by Occupation:</w:t>
      </w:r>
      <w:r>
        <w:rPr>
          <w:rFonts w:hint="default" w:ascii="Times New Roman" w:hAnsi="Times New Roman" w:cs="Times New Roman"/>
          <w:sz w:val="22"/>
          <w:szCs w:val="22"/>
        </w:rPr>
        <w:t xml:space="preserve"> This bar chart reveals financial capacity by job type. </w:t>
      </w:r>
      <w:r>
        <w:rPr>
          <w:rFonts w:hint="default" w:ascii="Times New Roman" w:hAnsi="Times New Roman" w:cs="Times New Roman"/>
          <w:b/>
          <w:bCs/>
          <w:sz w:val="22"/>
          <w:szCs w:val="22"/>
        </w:rPr>
        <w:t>Managers</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Accountants</w:t>
      </w:r>
      <w:r>
        <w:rPr>
          <w:rFonts w:hint="default" w:ascii="Times New Roman" w:hAnsi="Times New Roman" w:cs="Times New Roman"/>
          <w:sz w:val="22"/>
          <w:szCs w:val="22"/>
        </w:rPr>
        <w:t xml:space="preserve"> carry the highest average annuity amounts (indicating larger loans and higher repayment capacity), while </w:t>
      </w:r>
      <w:r>
        <w:rPr>
          <w:rFonts w:hint="default" w:ascii="Times New Roman" w:hAnsi="Times New Roman" w:cs="Times New Roman"/>
          <w:b/>
          <w:bCs/>
          <w:sz w:val="22"/>
          <w:szCs w:val="22"/>
        </w:rPr>
        <w:t>Low-skill Laborers</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Cleaning Staff</w:t>
      </w:r>
      <w:r>
        <w:rPr>
          <w:rFonts w:hint="default" w:ascii="Times New Roman" w:hAnsi="Times New Roman" w:cs="Times New Roman"/>
          <w:sz w:val="22"/>
          <w:szCs w:val="22"/>
        </w:rPr>
        <w:t xml:space="preserve"> have the lowest average annuities.</w:t>
      </w:r>
    </w:p>
    <w:p w14:paraId="7D35F641">
      <w:pPr>
        <w:rPr>
          <w:rFonts w:hint="default" w:ascii="Times New Roman" w:hAnsi="Times New Roman" w:cs="Times New Roman"/>
          <w:sz w:val="22"/>
          <w:szCs w:val="22"/>
        </w:rPr>
      </w:pPr>
      <w:r>
        <w:rPr>
          <w:rFonts w:hint="default" w:ascii="Times New Roman" w:hAnsi="Times New Roman" w:cs="Times New Roman"/>
          <w:sz w:val="22"/>
          <w:szCs w:val="22"/>
        </w:rPr>
        <w:pict>
          <v:rect id="_x0000_i1027" o:spt="1" style="height:1.5pt;width:0pt;" coordsize="21600,21600" o:hr="t" o:hrstd="t" o:hralign="center">
            <v:path/>
            <v:fill focussize="0,0"/>
            <v:stroke/>
            <v:imagedata o:title=""/>
            <o:lock v:ext="edit"/>
            <w10:wrap type="none"/>
            <w10:anchorlock/>
          </v:rect>
        </w:pict>
      </w:r>
    </w:p>
    <w:bookmarkEnd w:id="11"/>
    <w:bookmarkEnd w:id="15"/>
    <w:p w14:paraId="71D581CE">
      <w:pPr>
        <w:pStyle w:val="5"/>
        <w:rPr>
          <w:rFonts w:hint="default" w:ascii="Times New Roman" w:hAnsi="Times New Roman" w:cs="Times New Roman"/>
          <w:sz w:val="24"/>
          <w:szCs w:val="24"/>
        </w:rPr>
      </w:pPr>
      <w:bookmarkStart w:id="16" w:name="X40d0439cc4007aa539482b42e43a1cd2caad545"/>
      <w:r>
        <w:rPr>
          <w:rFonts w:hint="default" w:ascii="Times New Roman" w:hAnsi="Times New Roman" w:cs="Times New Roman"/>
          <w:b/>
          <w:bCs/>
          <w:sz w:val="24"/>
          <w:szCs w:val="24"/>
        </w:rPr>
        <w:t>4. Risk Drivers &amp; Sensitivity Analysis Dashboard</w:t>
      </w:r>
    </w:p>
    <w:p w14:paraId="45814C4C">
      <w:pPr>
        <w:pStyle w:val="23"/>
        <w:rPr>
          <w:rFonts w:hint="default" w:ascii="Times New Roman" w:hAnsi="Times New Roman" w:cs="Times New Roman"/>
          <w:sz w:val="22"/>
          <w:szCs w:val="22"/>
        </w:rPr>
      </w:pPr>
      <w:r>
        <w:rPr>
          <w:rFonts w:hint="default" w:ascii="Times New Roman" w:hAnsi="Times New Roman" w:cs="Times New Roman"/>
          <w:sz w:val="22"/>
          <w:szCs w:val="22"/>
        </w:rPr>
        <w:t xml:space="preserve">This dashboard page offers a granular "deep dive" into the current loan application pool. Unlike the high-level Overview, this view is designed for </w:t>
      </w:r>
      <w:r>
        <w:rPr>
          <w:rFonts w:hint="default" w:ascii="Times New Roman" w:hAnsi="Times New Roman" w:cs="Times New Roman"/>
          <w:b/>
          <w:bCs/>
          <w:sz w:val="22"/>
          <w:szCs w:val="22"/>
        </w:rPr>
        <w:t>sensitivity analysis</w:t>
      </w:r>
      <w:r>
        <w:rPr>
          <w:rFonts w:hint="default" w:ascii="Times New Roman" w:hAnsi="Times New Roman" w:cs="Times New Roman"/>
          <w:sz w:val="22"/>
          <w:szCs w:val="22"/>
        </w:rPr>
        <w:t>, allowing analysts to adjust specific financial levers (like annuity values or job tenure) to see how they impact risk profiles.</w:t>
      </w:r>
    </w:p>
    <w:p w14:paraId="45520EBA">
      <w:pPr>
        <w:pStyle w:val="3"/>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334000" cy="3004185"/>
            <wp:effectExtent l="0" t="0" r="0" b="0"/>
            <wp:docPr id="34" name="Picture" descr="Risk Drivers &amp; Sensitivity Analysi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Risk Drivers &amp; Sensitivity Analysis Dashboard"/>
                    <pic:cNvPicPr>
                      <a:picLocks noChangeAspect="1" noChangeArrowheads="1"/>
                    </pic:cNvPicPr>
                  </pic:nvPicPr>
                  <pic:blipFill>
                    <a:blip r:embed="rId8"/>
                    <a:stretch>
                      <a:fillRect/>
                    </a:stretch>
                  </pic:blipFill>
                  <pic:spPr>
                    <a:xfrm>
                      <a:off x="0" y="0"/>
                      <a:ext cx="5334000" cy="3004335"/>
                    </a:xfrm>
                    <a:prstGeom prst="rect">
                      <a:avLst/>
                    </a:prstGeom>
                    <a:noFill/>
                    <a:ln w="9525">
                      <a:noFill/>
                    </a:ln>
                  </pic:spPr>
                </pic:pic>
              </a:graphicData>
            </a:graphic>
          </wp:inline>
        </w:drawing>
      </w:r>
    </w:p>
    <w:p w14:paraId="45A2DA99">
      <w:pPr>
        <w:pStyle w:val="6"/>
        <w:rPr>
          <w:rFonts w:hint="default" w:ascii="Times New Roman" w:hAnsi="Times New Roman" w:cs="Times New Roman"/>
          <w:sz w:val="22"/>
          <w:szCs w:val="22"/>
        </w:rPr>
      </w:pPr>
      <w:bookmarkStart w:id="17" w:name="key-financial-ratios--kpis"/>
      <w:r>
        <w:rPr>
          <w:rFonts w:hint="default" w:ascii="Times New Roman" w:hAnsi="Times New Roman" w:cs="Times New Roman"/>
          <w:b/>
          <w:bCs/>
          <w:sz w:val="22"/>
          <w:szCs w:val="22"/>
        </w:rPr>
        <w:t>Key Financial Ratios &amp; KPIs</w:t>
      </w:r>
    </w:p>
    <w:p w14:paraId="7D31938A">
      <w:pPr>
        <w:pStyle w:val="23"/>
        <w:rPr>
          <w:rFonts w:hint="default" w:ascii="Times New Roman" w:hAnsi="Times New Roman" w:cs="Times New Roman"/>
          <w:sz w:val="22"/>
          <w:szCs w:val="22"/>
        </w:rPr>
      </w:pPr>
      <w:r>
        <w:rPr>
          <w:rFonts w:hint="default" w:ascii="Times New Roman" w:hAnsi="Times New Roman" w:cs="Times New Roman"/>
          <w:sz w:val="22"/>
          <w:szCs w:val="22"/>
        </w:rPr>
        <w:t>The top section reiterates core portfolio metrics with a specific focus on collateral and affordability ratios:</w:t>
      </w:r>
    </w:p>
    <w:p w14:paraId="26472A67">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Total Applications:</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307.51K</w:t>
      </w:r>
      <w:r>
        <w:rPr>
          <w:rFonts w:hint="default" w:ascii="Times New Roman" w:hAnsi="Times New Roman" w:cs="Times New Roman"/>
          <w:sz w:val="22"/>
          <w:szCs w:val="22"/>
        </w:rPr>
        <w:t xml:space="preserve"> active files under review.</w:t>
      </w:r>
    </w:p>
    <w:p w14:paraId="4E5CE288">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Credit to Goods Ratio (1.12):</w:t>
      </w:r>
      <w:r>
        <w:rPr>
          <w:rFonts w:hint="default" w:ascii="Times New Roman" w:hAnsi="Times New Roman" w:cs="Times New Roman"/>
          <w:sz w:val="22"/>
          <w:szCs w:val="22"/>
        </w:rPr>
        <w:t xml:space="preserve"> This gauge is unique to this page. A ratio greater than 1.0 suggests that, on average, applicants are borrowing slightly more than the value of the goods they are purchasing (potentially for insurance or fees), which can be a risk signal.</w:t>
      </w:r>
    </w:p>
    <w:p w14:paraId="13ECF844">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Affordability Metrics:</w:t>
      </w:r>
      <w:r>
        <w:rPr>
          <w:rFonts w:hint="default" w:ascii="Times New Roman" w:hAnsi="Times New Roman" w:cs="Times New Roman"/>
          <w:sz w:val="22"/>
          <w:szCs w:val="22"/>
        </w:rPr>
        <w:t xml:space="preserve"> The </w:t>
      </w:r>
      <w:r>
        <w:rPr>
          <w:rFonts w:hint="default" w:ascii="Times New Roman" w:hAnsi="Times New Roman" w:cs="Times New Roman"/>
          <w:b/>
          <w:bCs/>
          <w:sz w:val="22"/>
          <w:szCs w:val="22"/>
        </w:rPr>
        <w:t>Annuity to Income Ratio (0.18)</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Credit to Income Ratio (3.96)</w:t>
      </w:r>
      <w:r>
        <w:rPr>
          <w:rFonts w:hint="default" w:ascii="Times New Roman" w:hAnsi="Times New Roman" w:cs="Times New Roman"/>
          <w:sz w:val="22"/>
          <w:szCs w:val="22"/>
        </w:rPr>
        <w:t xml:space="preserve"> remain visible to monitor baseline affordability.</w:t>
      </w:r>
    </w:p>
    <w:bookmarkEnd w:id="17"/>
    <w:p w14:paraId="6ACF2259">
      <w:pPr>
        <w:pStyle w:val="6"/>
        <w:rPr>
          <w:rFonts w:hint="default" w:ascii="Times New Roman" w:hAnsi="Times New Roman" w:cs="Times New Roman"/>
          <w:sz w:val="22"/>
          <w:szCs w:val="22"/>
        </w:rPr>
      </w:pPr>
      <w:bookmarkStart w:id="18" w:name="advanced-filtering--sensitivity-controls"/>
      <w:r>
        <w:rPr>
          <w:rFonts w:hint="default" w:ascii="Times New Roman" w:hAnsi="Times New Roman" w:cs="Times New Roman"/>
          <w:b/>
          <w:bCs/>
          <w:sz w:val="22"/>
          <w:szCs w:val="22"/>
        </w:rPr>
        <w:t>Advanced Filtering &amp; Sensitivity Controls</w:t>
      </w:r>
    </w:p>
    <w:p w14:paraId="68174463">
      <w:pPr>
        <w:pStyle w:val="23"/>
        <w:rPr>
          <w:rFonts w:hint="default" w:ascii="Times New Roman" w:hAnsi="Times New Roman" w:cs="Times New Roman"/>
          <w:sz w:val="22"/>
          <w:szCs w:val="22"/>
        </w:rPr>
      </w:pPr>
      <w:r>
        <w:rPr>
          <w:rFonts w:hint="default" w:ascii="Times New Roman" w:hAnsi="Times New Roman" w:cs="Times New Roman"/>
          <w:sz w:val="22"/>
          <w:szCs w:val="22"/>
        </w:rPr>
        <w:t>This page features the most extensive set of filters, enabling "What-If" analysis:</w:t>
      </w:r>
    </w:p>
    <w:p w14:paraId="075B7439">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Demographic Segmentation:</w:t>
      </w:r>
      <w:r>
        <w:rPr>
          <w:rFonts w:hint="default" w:ascii="Times New Roman" w:hAnsi="Times New Roman" w:cs="Times New Roman"/>
          <w:sz w:val="22"/>
          <w:szCs w:val="22"/>
        </w:rPr>
        <w:t xml:space="preserve"> Checkboxes for </w:t>
      </w:r>
      <w:r>
        <w:rPr>
          <w:rFonts w:hint="default" w:ascii="Times New Roman" w:hAnsi="Times New Roman" w:cs="Times New Roman"/>
          <w:b/>
          <w:bCs/>
          <w:sz w:val="22"/>
          <w:szCs w:val="22"/>
        </w:rPr>
        <w:t>Gender</w:t>
      </w:r>
      <w:r>
        <w:rPr>
          <w:rFonts w:hint="default" w:ascii="Times New Roman" w:hAnsi="Times New Roman" w:cs="Times New Roman"/>
          <w:sz w:val="22"/>
          <w:szCs w:val="22"/>
        </w:rPr>
        <w:t xml:space="preserve"> (M/F) and </w:t>
      </w:r>
      <w:r>
        <w:rPr>
          <w:rFonts w:hint="default" w:ascii="Times New Roman" w:hAnsi="Times New Roman" w:cs="Times New Roman"/>
          <w:b/>
          <w:bCs/>
          <w:sz w:val="22"/>
          <w:szCs w:val="22"/>
        </w:rPr>
        <w:t>Education Level</w:t>
      </w:r>
      <w:r>
        <w:rPr>
          <w:rFonts w:hint="default" w:ascii="Times New Roman" w:hAnsi="Times New Roman" w:cs="Times New Roman"/>
          <w:sz w:val="22"/>
          <w:szCs w:val="22"/>
        </w:rPr>
        <w:t xml:space="preserve"> (Higher, Low, Secondary).</w:t>
      </w:r>
    </w:p>
    <w:p w14:paraId="123B729B">
      <w:pPr>
        <w:pStyle w:val="24"/>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Risk Sliders:</w:t>
      </w:r>
      <w:r>
        <w:rPr>
          <w:rFonts w:hint="default" w:ascii="Times New Roman" w:hAnsi="Times New Roman" w:cs="Times New Roman"/>
          <w:sz w:val="22"/>
          <w:szCs w:val="22"/>
        </w:rPr>
        <w:t xml:space="preserve"> Users can filter the entire dashboard by specific continuous ranges, such as:</w:t>
      </w:r>
    </w:p>
    <w:p w14:paraId="5C5DEC99">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Job Age at Loan:</w:t>
      </w:r>
      <w:r>
        <w:rPr>
          <w:rFonts w:hint="default" w:ascii="Times New Roman" w:hAnsi="Times New Roman" w:cs="Times New Roman"/>
          <w:sz w:val="22"/>
          <w:szCs w:val="22"/>
        </w:rPr>
        <w:t xml:space="preserve"> To isolate new employees vs. stable veterans.</w:t>
      </w:r>
    </w:p>
    <w:p w14:paraId="799B5ACC">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Loan Completion Rate:</w:t>
      </w:r>
      <w:r>
        <w:rPr>
          <w:rFonts w:hint="default" w:ascii="Times New Roman" w:hAnsi="Times New Roman" w:cs="Times New Roman"/>
          <w:sz w:val="22"/>
          <w:szCs w:val="22"/>
        </w:rPr>
        <w:t xml:space="preserve"> To filter based on historical repayment progress.</w:t>
      </w:r>
    </w:p>
    <w:p w14:paraId="7247107D">
      <w:pPr>
        <w:pStyle w:val="24"/>
        <w:numPr>
          <w:ilvl w:val="1"/>
          <w:numId w:val="1"/>
        </w:numPr>
        <w:rPr>
          <w:rFonts w:hint="default" w:ascii="Times New Roman" w:hAnsi="Times New Roman" w:cs="Times New Roman"/>
          <w:sz w:val="22"/>
          <w:szCs w:val="22"/>
        </w:rPr>
      </w:pPr>
      <w:r>
        <w:rPr>
          <w:rFonts w:hint="default" w:ascii="Times New Roman" w:hAnsi="Times New Roman" w:cs="Times New Roman"/>
          <w:b/>
          <w:bCs/>
          <w:sz w:val="22"/>
          <w:szCs w:val="22"/>
        </w:rPr>
        <w:t>No. of Contacts:</w:t>
      </w:r>
      <w:r>
        <w:rPr>
          <w:rFonts w:hint="default" w:ascii="Times New Roman" w:hAnsi="Times New Roman" w:cs="Times New Roman"/>
          <w:sz w:val="22"/>
          <w:szCs w:val="22"/>
        </w:rPr>
        <w:t xml:space="preserve"> To analyze if applicants providing more contact methods are more reliable.</w:t>
      </w:r>
    </w:p>
    <w:bookmarkEnd w:id="18"/>
    <w:p w14:paraId="0E58B90F">
      <w:pPr>
        <w:pStyle w:val="6"/>
        <w:rPr>
          <w:rFonts w:hint="default" w:ascii="Times New Roman" w:hAnsi="Times New Roman" w:cs="Times New Roman"/>
          <w:sz w:val="22"/>
          <w:szCs w:val="22"/>
        </w:rPr>
      </w:pPr>
      <w:bookmarkStart w:id="19" w:name="visual-insights-risk-drivers"/>
      <w:r>
        <w:rPr>
          <w:rFonts w:hint="default" w:ascii="Times New Roman" w:hAnsi="Times New Roman" w:cs="Times New Roman"/>
          <w:b/>
          <w:bCs/>
          <w:sz w:val="22"/>
          <w:szCs w:val="22"/>
        </w:rPr>
        <w:t>Visual Insights: Risk Drivers</w:t>
      </w:r>
    </w:p>
    <w:p w14:paraId="22393C25">
      <w:pPr>
        <w:numPr>
          <w:ilvl w:val="0"/>
          <w:numId w:val="3"/>
        </w:numPr>
        <w:rPr>
          <w:rFonts w:hint="default" w:ascii="Times New Roman" w:hAnsi="Times New Roman" w:cs="Times New Roman"/>
          <w:sz w:val="22"/>
          <w:szCs w:val="22"/>
        </w:rPr>
      </w:pPr>
      <w:r>
        <w:rPr>
          <w:rFonts w:hint="default" w:ascii="Times New Roman" w:hAnsi="Times New Roman" w:cs="Times New Roman"/>
          <w:b/>
          <w:bCs/>
          <w:sz w:val="22"/>
          <w:szCs w:val="22"/>
        </w:rPr>
        <w:t>Distribution of Applicant Category (Defaulter vs. Non-Defaulter)</w:t>
      </w:r>
    </w:p>
    <w:p w14:paraId="18560261">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Chart:</w:t>
      </w:r>
      <w:r>
        <w:rPr>
          <w:rFonts w:hint="default" w:ascii="Times New Roman" w:hAnsi="Times New Roman" w:cs="Times New Roman"/>
          <w:sz w:val="22"/>
          <w:szCs w:val="22"/>
        </w:rPr>
        <w:t xml:space="preserve"> Grouped bar chart comparing key averages for </w:t>
      </w:r>
      <w:r>
        <w:rPr>
          <w:rStyle w:val="48"/>
          <w:rFonts w:hint="default" w:ascii="Times New Roman" w:hAnsi="Times New Roman" w:cs="Times New Roman"/>
          <w:sz w:val="21"/>
          <w:szCs w:val="22"/>
        </w:rPr>
        <w:t>Defaulted</w:t>
      </w:r>
      <w:r>
        <w:rPr>
          <w:rFonts w:hint="default" w:ascii="Times New Roman" w:hAnsi="Times New Roman" w:cs="Times New Roman"/>
          <w:sz w:val="22"/>
          <w:szCs w:val="22"/>
        </w:rPr>
        <w:t xml:space="preserve"> vs </w:t>
      </w:r>
      <w:r>
        <w:rPr>
          <w:rStyle w:val="48"/>
          <w:rFonts w:hint="default" w:ascii="Times New Roman" w:hAnsi="Times New Roman" w:cs="Times New Roman"/>
          <w:sz w:val="21"/>
          <w:szCs w:val="22"/>
        </w:rPr>
        <w:t>Not Defaulted</w:t>
      </w:r>
      <w:r>
        <w:rPr>
          <w:rFonts w:hint="default" w:ascii="Times New Roman" w:hAnsi="Times New Roman" w:cs="Times New Roman"/>
          <w:sz w:val="22"/>
          <w:szCs w:val="22"/>
        </w:rPr>
        <w:t xml:space="preserve"> applicants.</w:t>
      </w:r>
    </w:p>
    <w:p w14:paraId="4E9994CF">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Insight:</w:t>
      </w:r>
    </w:p>
    <w:p w14:paraId="199562AD">
      <w:pPr>
        <w:pStyle w:val="24"/>
        <w:numPr>
          <w:ilvl w:val="2"/>
          <w:numId w:val="1"/>
        </w:numPr>
        <w:rPr>
          <w:rFonts w:hint="default" w:ascii="Times New Roman" w:hAnsi="Times New Roman" w:cs="Times New Roman"/>
          <w:sz w:val="22"/>
          <w:szCs w:val="22"/>
        </w:rPr>
      </w:pPr>
      <w:r>
        <w:rPr>
          <w:rFonts w:hint="default" w:ascii="Times New Roman" w:hAnsi="Times New Roman" w:cs="Times New Roman"/>
          <w:b/>
          <w:bCs/>
          <w:sz w:val="22"/>
          <w:szCs w:val="22"/>
        </w:rPr>
        <w:t>Region Rating (Orange Bar):</w:t>
      </w:r>
      <w:r>
        <w:rPr>
          <w:rFonts w:hint="default" w:ascii="Times New Roman" w:hAnsi="Times New Roman" w:cs="Times New Roman"/>
          <w:sz w:val="22"/>
          <w:szCs w:val="22"/>
        </w:rPr>
        <w:t xml:space="preserve"> Defaulters have a noticeably higher average Region Rating (</w:t>
      </w:r>
      <w:r>
        <w:rPr>
          <w:rFonts w:hint="default" w:ascii="Times New Roman" w:hAnsi="Times New Roman" w:cs="Times New Roman"/>
          <w:b/>
          <w:bCs/>
          <w:sz w:val="22"/>
          <w:szCs w:val="22"/>
        </w:rPr>
        <w:t>2.13</w:t>
      </w:r>
      <w:r>
        <w:rPr>
          <w:rFonts w:hint="default" w:ascii="Times New Roman" w:hAnsi="Times New Roman" w:cs="Times New Roman"/>
          <w:sz w:val="22"/>
          <w:szCs w:val="22"/>
        </w:rPr>
        <w:t>) compared to non-defaulters (</w:t>
      </w:r>
      <w:r>
        <w:rPr>
          <w:rFonts w:hint="default" w:ascii="Times New Roman" w:hAnsi="Times New Roman" w:cs="Times New Roman"/>
          <w:b/>
          <w:bCs/>
          <w:sz w:val="22"/>
          <w:szCs w:val="22"/>
        </w:rPr>
        <w:t>2.02</w:t>
      </w:r>
      <w:r>
        <w:rPr>
          <w:rFonts w:hint="default" w:ascii="Times New Roman" w:hAnsi="Times New Roman" w:cs="Times New Roman"/>
          <w:sz w:val="22"/>
          <w:szCs w:val="22"/>
        </w:rPr>
        <w:t>), suggesting that location/regional economic health is a predictive factor.</w:t>
      </w:r>
    </w:p>
    <w:p w14:paraId="0C59F6DE">
      <w:pPr>
        <w:pStyle w:val="24"/>
        <w:numPr>
          <w:ilvl w:val="2"/>
          <w:numId w:val="1"/>
        </w:numPr>
        <w:rPr>
          <w:rFonts w:hint="default" w:ascii="Times New Roman" w:hAnsi="Times New Roman" w:cs="Times New Roman"/>
          <w:sz w:val="22"/>
          <w:szCs w:val="22"/>
        </w:rPr>
      </w:pPr>
      <w:r>
        <w:rPr>
          <w:rFonts w:hint="default" w:ascii="Times New Roman" w:hAnsi="Times New Roman" w:cs="Times New Roman"/>
          <w:b/>
          <w:bCs/>
          <w:sz w:val="22"/>
          <w:szCs w:val="22"/>
        </w:rPr>
        <w:t>Credit-to-Goods (Dark Blue Bar):</w:t>
      </w:r>
      <w:r>
        <w:rPr>
          <w:rFonts w:hint="default" w:ascii="Times New Roman" w:hAnsi="Times New Roman" w:cs="Times New Roman"/>
          <w:sz w:val="22"/>
          <w:szCs w:val="22"/>
        </w:rPr>
        <w:t xml:space="preserve"> Defaulters also show a slightly higher gap between credit received and goods value (</w:t>
      </w:r>
      <w:r>
        <w:rPr>
          <w:rFonts w:hint="default" w:ascii="Times New Roman" w:hAnsi="Times New Roman" w:cs="Times New Roman"/>
          <w:b/>
          <w:bCs/>
          <w:sz w:val="22"/>
          <w:szCs w:val="22"/>
        </w:rPr>
        <w:t>1.15</w:t>
      </w:r>
      <w:r>
        <w:rPr>
          <w:rFonts w:hint="default" w:ascii="Times New Roman" w:hAnsi="Times New Roman" w:cs="Times New Roman"/>
          <w:sz w:val="22"/>
          <w:szCs w:val="22"/>
        </w:rPr>
        <w:t xml:space="preserve"> vs </w:t>
      </w:r>
      <w:r>
        <w:rPr>
          <w:rFonts w:hint="default" w:ascii="Times New Roman" w:hAnsi="Times New Roman" w:cs="Times New Roman"/>
          <w:b/>
          <w:bCs/>
          <w:sz w:val="22"/>
          <w:szCs w:val="22"/>
        </w:rPr>
        <w:t>1.12</w:t>
      </w:r>
      <w:r>
        <w:rPr>
          <w:rFonts w:hint="default" w:ascii="Times New Roman" w:hAnsi="Times New Roman" w:cs="Times New Roman"/>
          <w:sz w:val="22"/>
          <w:szCs w:val="22"/>
        </w:rPr>
        <w:t>), indicating they may be financing more "extras" or have less downpayment coverage.</w:t>
      </w:r>
    </w:p>
    <w:p w14:paraId="4F3203BB">
      <w:pPr>
        <w:numPr>
          <w:ilvl w:val="0"/>
          <w:numId w:val="3"/>
        </w:numPr>
        <w:rPr>
          <w:rFonts w:hint="default" w:ascii="Times New Roman" w:hAnsi="Times New Roman" w:cs="Times New Roman"/>
          <w:sz w:val="22"/>
          <w:szCs w:val="22"/>
        </w:rPr>
      </w:pPr>
      <w:r>
        <w:rPr>
          <w:rFonts w:hint="default" w:ascii="Times New Roman" w:hAnsi="Times New Roman" w:cs="Times New Roman"/>
          <w:b/>
          <w:bCs/>
          <w:sz w:val="22"/>
          <w:szCs w:val="22"/>
        </w:rPr>
        <w:t>Income vs. Risk Ratio</w:t>
      </w:r>
    </w:p>
    <w:p w14:paraId="114A4F9E">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Chart:</w:t>
      </w:r>
      <w:r>
        <w:rPr>
          <w:rFonts w:hint="default" w:ascii="Times New Roman" w:hAnsi="Times New Roman" w:cs="Times New Roman"/>
          <w:sz w:val="22"/>
          <w:szCs w:val="22"/>
        </w:rPr>
        <w:t xml:space="preserve"> Line chart plotting </w:t>
      </w:r>
      <w:r>
        <w:rPr>
          <w:rFonts w:hint="default" w:ascii="Times New Roman" w:hAnsi="Times New Roman" w:cs="Times New Roman"/>
          <w:b/>
          <w:bCs/>
          <w:sz w:val="22"/>
          <w:szCs w:val="22"/>
        </w:rPr>
        <w:t>Risk Ratio</w:t>
      </w:r>
      <w:r>
        <w:rPr>
          <w:rFonts w:hint="default" w:ascii="Times New Roman" w:hAnsi="Times New Roman" w:cs="Times New Roman"/>
          <w:sz w:val="22"/>
          <w:szCs w:val="22"/>
        </w:rPr>
        <w:t xml:space="preserve"> against </w:t>
      </w:r>
      <w:r>
        <w:rPr>
          <w:rFonts w:hint="default" w:ascii="Times New Roman" w:hAnsi="Times New Roman" w:cs="Times New Roman"/>
          <w:b/>
          <w:bCs/>
          <w:sz w:val="22"/>
          <w:szCs w:val="22"/>
        </w:rPr>
        <w:t>Income Per Person</w:t>
      </w:r>
      <w:r>
        <w:rPr>
          <w:rFonts w:hint="default" w:ascii="Times New Roman" w:hAnsi="Times New Roman" w:cs="Times New Roman"/>
          <w:sz w:val="22"/>
          <w:szCs w:val="22"/>
        </w:rPr>
        <w:t>.</w:t>
      </w:r>
    </w:p>
    <w:p w14:paraId="080E8554">
      <w:pPr>
        <w:pStyle w:val="24"/>
        <w:numPr>
          <w:ilvl w:val="1"/>
          <w:numId w:val="1"/>
        </w:numPr>
        <w:rPr>
          <w:rFonts w:hint="default" w:ascii="Times New Roman" w:hAnsi="Times New Roman" w:cs="Times New Roman"/>
          <w:sz w:val="22"/>
          <w:szCs w:val="22"/>
        </w:rPr>
      </w:pPr>
      <w:r>
        <w:rPr>
          <w:rFonts w:hint="default" w:ascii="Times New Roman" w:hAnsi="Times New Roman" w:cs="Times New Roman"/>
          <w:i/>
          <w:iCs/>
          <w:sz w:val="22"/>
          <w:szCs w:val="22"/>
        </w:rPr>
        <w:t>Insight:</w:t>
      </w:r>
      <w:r>
        <w:rPr>
          <w:rFonts w:hint="default" w:ascii="Times New Roman" w:hAnsi="Times New Roman" w:cs="Times New Roman"/>
          <w:sz w:val="22"/>
          <w:szCs w:val="22"/>
        </w:rPr>
        <w:t xml:space="preserve"> There is a visible </w:t>
      </w:r>
      <w:r>
        <w:rPr>
          <w:rFonts w:hint="default" w:ascii="Times New Roman" w:hAnsi="Times New Roman" w:cs="Times New Roman"/>
          <w:b/>
          <w:bCs/>
          <w:sz w:val="22"/>
          <w:szCs w:val="22"/>
        </w:rPr>
        <w:t>inverse relationship</w:t>
      </w:r>
      <w:r>
        <w:rPr>
          <w:rFonts w:hint="default" w:ascii="Times New Roman" w:hAnsi="Times New Roman" w:cs="Times New Roman"/>
          <w:sz w:val="22"/>
          <w:szCs w:val="22"/>
        </w:rPr>
        <w:t xml:space="preserve"> between income and risk.</w:t>
      </w:r>
    </w:p>
    <w:p w14:paraId="26621067">
      <w:pPr>
        <w:pStyle w:val="24"/>
        <w:numPr>
          <w:ilvl w:val="2"/>
          <w:numId w:val="1"/>
        </w:numPr>
        <w:rPr>
          <w:rFonts w:hint="default" w:ascii="Times New Roman" w:hAnsi="Times New Roman" w:cs="Times New Roman"/>
          <w:sz w:val="22"/>
          <w:szCs w:val="22"/>
        </w:rPr>
      </w:pPr>
      <w:r>
        <w:rPr>
          <w:rFonts w:hint="default" w:ascii="Times New Roman" w:hAnsi="Times New Roman" w:cs="Times New Roman"/>
          <w:b/>
          <w:bCs/>
          <w:sz w:val="22"/>
          <w:szCs w:val="22"/>
        </w:rPr>
        <w:t>Highest Risk:</w:t>
      </w:r>
      <w:r>
        <w:rPr>
          <w:rFonts w:hint="default" w:ascii="Times New Roman" w:hAnsi="Times New Roman" w:cs="Times New Roman"/>
          <w:sz w:val="22"/>
          <w:szCs w:val="22"/>
        </w:rPr>
        <w:t xml:space="preserve"> The risk peaks at </w:t>
      </w:r>
      <w:r>
        <w:rPr>
          <w:rFonts w:hint="default" w:ascii="Times New Roman" w:hAnsi="Times New Roman" w:cs="Times New Roman"/>
          <w:b/>
          <w:bCs/>
          <w:sz w:val="22"/>
          <w:szCs w:val="22"/>
        </w:rPr>
        <w:t>10.4%</w:t>
      </w:r>
      <w:r>
        <w:rPr>
          <w:rFonts w:hint="default" w:ascii="Times New Roman" w:hAnsi="Times New Roman" w:cs="Times New Roman"/>
          <w:sz w:val="22"/>
          <w:szCs w:val="22"/>
        </w:rPr>
        <w:t xml:space="preserve"> for the lowest income bracket (near 0–20K).</w:t>
      </w:r>
    </w:p>
    <w:p w14:paraId="3C479626">
      <w:pPr>
        <w:pStyle w:val="24"/>
        <w:numPr>
          <w:ilvl w:val="2"/>
          <w:numId w:val="1"/>
        </w:numPr>
        <w:rPr>
          <w:rFonts w:hint="default" w:ascii="Times New Roman" w:hAnsi="Times New Roman" w:cs="Times New Roman"/>
          <w:sz w:val="22"/>
          <w:szCs w:val="22"/>
        </w:rPr>
      </w:pPr>
      <w:r>
        <w:rPr>
          <w:rFonts w:hint="default" w:ascii="Times New Roman" w:hAnsi="Times New Roman" w:cs="Times New Roman"/>
          <w:b/>
          <w:bCs/>
          <w:sz w:val="22"/>
          <w:szCs w:val="22"/>
        </w:rPr>
        <w:t>Lowest Risk:</w:t>
      </w:r>
      <w:r>
        <w:rPr>
          <w:rFonts w:hint="default" w:ascii="Times New Roman" w:hAnsi="Times New Roman" w:cs="Times New Roman"/>
          <w:sz w:val="22"/>
          <w:szCs w:val="22"/>
        </w:rPr>
        <w:t xml:space="preserve"> As income rises to 200K, the risk drops significantly to </w:t>
      </w:r>
      <w:r>
        <w:rPr>
          <w:rFonts w:hint="default" w:ascii="Times New Roman" w:hAnsi="Times New Roman" w:cs="Times New Roman"/>
          <w:b/>
          <w:bCs/>
          <w:sz w:val="22"/>
          <w:szCs w:val="22"/>
        </w:rPr>
        <w:t>6.8%</w:t>
      </w:r>
      <w:r>
        <w:rPr>
          <w:rFonts w:hint="default" w:ascii="Times New Roman" w:hAnsi="Times New Roman" w:cs="Times New Roman"/>
          <w:sz w:val="22"/>
          <w:szCs w:val="22"/>
        </w:rPr>
        <w:t>.</w:t>
      </w:r>
    </w:p>
    <w:p w14:paraId="198502E3">
      <w:pPr>
        <w:pStyle w:val="24"/>
        <w:numPr>
          <w:ilvl w:val="2"/>
          <w:numId w:val="1"/>
        </w:numPr>
        <w:rPr>
          <w:rFonts w:hint="default" w:ascii="Times New Roman" w:hAnsi="Times New Roman" w:cs="Times New Roman"/>
          <w:sz w:val="22"/>
          <w:szCs w:val="22"/>
        </w:rPr>
      </w:pPr>
      <w:r>
        <w:rPr>
          <w:rFonts w:hint="default" w:ascii="Times New Roman" w:hAnsi="Times New Roman" w:cs="Times New Roman"/>
          <w:b/>
          <w:bCs/>
          <w:sz w:val="22"/>
          <w:szCs w:val="22"/>
        </w:rPr>
        <w:t>Volatility:</w:t>
      </w:r>
      <w:r>
        <w:rPr>
          <w:rFonts w:hint="default" w:ascii="Times New Roman" w:hAnsi="Times New Roman" w:cs="Times New Roman"/>
          <w:sz w:val="22"/>
          <w:szCs w:val="22"/>
        </w:rPr>
        <w:t xml:space="preserve"> The curve is not perfectly smooth; there is a notable "bump" in risk around the </w:t>
      </w:r>
      <w:r>
        <w:rPr>
          <w:rFonts w:hint="default" w:ascii="Times New Roman" w:hAnsi="Times New Roman" w:cs="Times New Roman"/>
          <w:b/>
          <w:bCs/>
          <w:sz w:val="22"/>
          <w:szCs w:val="22"/>
        </w:rPr>
        <w:t>150K</w:t>
      </w:r>
      <w:r>
        <w:rPr>
          <w:rFonts w:hint="default" w:ascii="Times New Roman" w:hAnsi="Times New Roman" w:cs="Times New Roman"/>
          <w:sz w:val="22"/>
          <w:szCs w:val="22"/>
        </w:rPr>
        <w:t xml:space="preserve"> income mark (</w:t>
      </w:r>
      <w:r>
        <w:rPr>
          <w:rFonts w:hint="default" w:ascii="Times New Roman" w:hAnsi="Times New Roman" w:cs="Times New Roman"/>
          <w:b/>
          <w:bCs/>
          <w:sz w:val="22"/>
          <w:szCs w:val="22"/>
        </w:rPr>
        <w:t>8.2%</w:t>
      </w:r>
      <w:r>
        <w:rPr>
          <w:rFonts w:hint="default" w:ascii="Times New Roman" w:hAnsi="Times New Roman" w:cs="Times New Roman"/>
          <w:sz w:val="22"/>
          <w:szCs w:val="22"/>
        </w:rPr>
        <w:t>), suggesting that higher income does not always guarantee lower risk—perhaps due to higher leverage in that segment.</w:t>
      </w:r>
    </w:p>
    <w:bookmarkEnd w:id="0"/>
    <w:bookmarkEnd w:id="16"/>
    <w:bookmarkEnd w:id="1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Euphorigenic"/>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Euphorigenic">
    <w:panose1 w:val="02000400000000000000"/>
    <w:charset w:val="00"/>
    <w:family w:val="auto"/>
    <w:pitch w:val="default"/>
    <w:sig w:usb0="80000027" w:usb1="0000000A"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FD704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qFormat/>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shd w:val="clear" w:fill="F8F8F8"/>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204A87"/>
      <w:shd w:val="clear" w:fill="F8F8F8"/>
    </w:rPr>
  </w:style>
  <w:style w:type="character" w:customStyle="1" w:styleId="53">
    <w:name w:val="DataTypeTok"/>
    <w:basedOn w:val="48"/>
    <w:uiPriority w:val="0"/>
    <w:rPr>
      <w:color w:val="204A87"/>
      <w:shd w:val="clear" w:fill="F8F8F8"/>
    </w:rPr>
  </w:style>
  <w:style w:type="character" w:customStyle="1" w:styleId="54">
    <w:name w:val="DecValTok"/>
    <w:basedOn w:val="48"/>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uiPriority w:val="0"/>
    <w:rPr>
      <w:color w:val="0000CF"/>
      <w:shd w:val="clear" w:fill="F8F8F8"/>
    </w:rPr>
  </w:style>
  <w:style w:type="character" w:customStyle="1" w:styleId="57">
    <w:name w:val="ConstantTok"/>
    <w:basedOn w:val="48"/>
    <w:uiPriority w:val="0"/>
    <w:rPr>
      <w:color w:val="8F5902"/>
      <w:shd w:val="clear" w:fill="F8F8F8"/>
    </w:rPr>
  </w:style>
  <w:style w:type="character" w:customStyle="1" w:styleId="58">
    <w:name w:val="CharTok"/>
    <w:basedOn w:val="48"/>
    <w:uiPriority w:val="0"/>
    <w:rPr>
      <w:color w:val="4E9A06"/>
      <w:shd w:val="clear" w:fill="F8F8F8"/>
    </w:rPr>
  </w:style>
  <w:style w:type="character" w:customStyle="1" w:styleId="59">
    <w:name w:val="SpecialCharTok"/>
    <w:basedOn w:val="48"/>
    <w:uiPriority w:val="0"/>
    <w:rPr>
      <w:b/>
      <w:color w:val="CE5C00"/>
      <w:shd w:val="clear" w:fill="F8F8F8"/>
    </w:rPr>
  </w:style>
  <w:style w:type="character" w:customStyle="1" w:styleId="60">
    <w:name w:val="StringTok"/>
    <w:basedOn w:val="48"/>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uiPriority w:val="0"/>
    <w:rPr>
      <w:color w:val="4E9A06"/>
      <w:shd w:val="clear" w:fill="F8F8F8"/>
    </w:rPr>
  </w:style>
  <w:style w:type="character" w:customStyle="1" w:styleId="63">
    <w:name w:val="ImportTok"/>
    <w:basedOn w:val="48"/>
    <w:uiPriority w:val="0"/>
    <w:rPr>
      <w:shd w:val="clear" w:fill="F8F8F8"/>
    </w:rPr>
  </w:style>
  <w:style w:type="character" w:customStyle="1" w:styleId="64">
    <w:name w:val="CommentTok"/>
    <w:basedOn w:val="48"/>
    <w:uiPriority w:val="0"/>
    <w:rPr>
      <w:i/>
      <w:color w:val="8F5902"/>
      <w:shd w:val="clear" w:fill="F8F8F8"/>
    </w:rPr>
  </w:style>
  <w:style w:type="character" w:customStyle="1" w:styleId="65">
    <w:name w:val="DocumentationTok"/>
    <w:basedOn w:val="48"/>
    <w:uiPriority w:val="0"/>
    <w:rPr>
      <w:b/>
      <w:i/>
      <w:color w:val="8F5902"/>
      <w:shd w:val="clear" w:fill="F8F8F8"/>
    </w:rPr>
  </w:style>
  <w:style w:type="character" w:customStyle="1" w:styleId="66">
    <w:name w:val="AnnotationTok"/>
    <w:basedOn w:val="48"/>
    <w:uiPriority w:val="0"/>
    <w:rPr>
      <w:b/>
      <w:i/>
      <w:color w:val="8F5902"/>
      <w:shd w:val="clear" w:fill="F8F8F8"/>
    </w:rPr>
  </w:style>
  <w:style w:type="character" w:customStyle="1" w:styleId="67">
    <w:name w:val="CommentVarTok"/>
    <w:basedOn w:val="48"/>
    <w:uiPriority w:val="0"/>
    <w:rPr>
      <w:b/>
      <w:i/>
      <w:color w:val="8F5902"/>
      <w:shd w:val="clear" w:fill="F8F8F8"/>
    </w:rPr>
  </w:style>
  <w:style w:type="character" w:customStyle="1" w:styleId="68">
    <w:name w:val="OtherTok"/>
    <w:basedOn w:val="48"/>
    <w:uiPriority w:val="0"/>
    <w:rPr>
      <w:color w:val="8F5902"/>
      <w:shd w:val="clear" w:fill="F8F8F8"/>
    </w:rPr>
  </w:style>
  <w:style w:type="character" w:customStyle="1" w:styleId="69">
    <w:name w:val="FunctionTok"/>
    <w:basedOn w:val="48"/>
    <w:uiPriority w:val="0"/>
    <w:rPr>
      <w:b/>
      <w:color w:val="204A87"/>
      <w:shd w:val="clear" w:fill="F8F8F8"/>
    </w:rPr>
  </w:style>
  <w:style w:type="character" w:customStyle="1" w:styleId="70">
    <w:name w:val="VariableTok"/>
    <w:basedOn w:val="48"/>
    <w:uiPriority w:val="0"/>
    <w:rPr>
      <w:color w:val="000000"/>
      <w:shd w:val="clear" w:fill="F8F8F8"/>
    </w:rPr>
  </w:style>
  <w:style w:type="character" w:customStyle="1" w:styleId="71">
    <w:name w:val="ControlFlowTok"/>
    <w:basedOn w:val="48"/>
    <w:uiPriority w:val="0"/>
    <w:rPr>
      <w:b/>
      <w:color w:val="204A87"/>
      <w:shd w:val="clear" w:fill="F8F8F8"/>
    </w:rPr>
  </w:style>
  <w:style w:type="character" w:customStyle="1" w:styleId="72">
    <w:name w:val="OperatorTok"/>
    <w:basedOn w:val="48"/>
    <w:uiPriority w:val="0"/>
    <w:rPr>
      <w:b/>
      <w:color w:val="CE5C00"/>
      <w:shd w:val="clear" w:fill="F8F8F8"/>
    </w:rPr>
  </w:style>
  <w:style w:type="character" w:customStyle="1" w:styleId="73">
    <w:name w:val="BuiltInTok"/>
    <w:basedOn w:val="48"/>
    <w:uiPriority w:val="0"/>
    <w:rPr>
      <w:shd w:val="clear" w:fill="F8F8F8"/>
    </w:rPr>
  </w:style>
  <w:style w:type="character" w:customStyle="1" w:styleId="74">
    <w:name w:val="ExtensionTok"/>
    <w:basedOn w:val="48"/>
    <w:uiPriority w:val="0"/>
    <w:rPr>
      <w:shd w:val="clear" w:fill="F8F8F8"/>
    </w:rPr>
  </w:style>
  <w:style w:type="character" w:customStyle="1" w:styleId="75">
    <w:name w:val="PreprocessorTok"/>
    <w:basedOn w:val="48"/>
    <w:uiPriority w:val="0"/>
    <w:rPr>
      <w:i/>
      <w:color w:val="8F5902"/>
      <w:shd w:val="clear" w:fill="F8F8F8"/>
    </w:rPr>
  </w:style>
  <w:style w:type="character" w:customStyle="1" w:styleId="76">
    <w:name w:val="AttributeTok"/>
    <w:basedOn w:val="48"/>
    <w:uiPriority w:val="0"/>
    <w:rPr>
      <w:color w:val="204A87"/>
      <w:shd w:val="clear" w:fill="F8F8F8"/>
    </w:rPr>
  </w:style>
  <w:style w:type="character" w:customStyle="1" w:styleId="77">
    <w:name w:val="RegionMarkerTok"/>
    <w:basedOn w:val="48"/>
    <w:uiPriority w:val="0"/>
    <w:rPr>
      <w:shd w:val="clear" w:fill="F8F8F8"/>
    </w:rPr>
  </w:style>
  <w:style w:type="character" w:customStyle="1" w:styleId="78">
    <w:name w:val="InformationTok"/>
    <w:basedOn w:val="48"/>
    <w:uiPriority w:val="0"/>
    <w:rPr>
      <w:b/>
      <w:i/>
      <w:color w:val="8F5902"/>
      <w:shd w:val="clear" w:fill="F8F8F8"/>
    </w:rPr>
  </w:style>
  <w:style w:type="character" w:customStyle="1" w:styleId="79">
    <w:name w:val="WarningTok"/>
    <w:basedOn w:val="48"/>
    <w:uiPriority w:val="0"/>
    <w:rPr>
      <w:b/>
      <w:i/>
      <w:color w:val="8F5902"/>
      <w:shd w:val="clear" w:fill="F8F8F8"/>
    </w:rPr>
  </w:style>
  <w:style w:type="character" w:customStyle="1" w:styleId="80">
    <w:name w:val="AlertTok"/>
    <w:basedOn w:val="48"/>
    <w:uiPriority w:val="0"/>
    <w:rPr>
      <w:color w:val="EF2929"/>
      <w:shd w:val="clear" w:fill="F8F8F8"/>
    </w:rPr>
  </w:style>
  <w:style w:type="character" w:customStyle="1" w:styleId="81">
    <w:name w:val="ErrorTok"/>
    <w:basedOn w:val="48"/>
    <w:uiPriority w:val="0"/>
    <w:rPr>
      <w:b/>
      <w:color w:val="A40000"/>
      <w:shd w:val="clear" w:fill="F8F8F8"/>
    </w:rPr>
  </w:style>
  <w:style w:type="character" w:customStyle="1" w:styleId="82">
    <w:name w:val="NormalTok"/>
    <w:basedOn w:val="48"/>
    <w:uiPriority w:val="0"/>
    <w:rPr>
      <w:shd w:val="clear" w:fill="F8F8F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83</Words>
  <Characters>475</Characters>
  <Lines>12</Lines>
  <Paragraphs>8</Paragraphs>
  <TotalTime>6</TotalTime>
  <ScaleCrop>false</ScaleCrop>
  <LinksUpToDate>false</LinksUpToDate>
  <CharactersWithSpaces>583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2025-12-14T08:21:00Z</dcterms:created>
  <dc:creator>Shib Kumar</dc:creator>
  <cp:lastModifiedBy>Shib Kumar</cp:lastModifiedBy>
  <dcterms:modified xsi:type="dcterms:W3CDTF">2025-12-14T08:22:41Z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3F8FA0F87F59409A82FE1EEAA2F4DDA8_12</vt:lpwstr>
  </property>
</Properties>
</file>