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80B03">
      <w:pPr>
        <w:pStyle w:val="51"/>
        <w:rPr>
          <w:rFonts w:hint="default" w:ascii="Times New Roman" w:hAnsi="Times New Roman" w:cs="Times New Roman"/>
          <w:sz w:val="36"/>
          <w:szCs w:val="36"/>
        </w:rPr>
      </w:pPr>
      <w:bookmarkStart w:id="0" w:name="X3f3f7f2b9a5025ceaec4a81c5a5348f485f471c"/>
      <w:sdt>
        <w:sdtPr>
          <w:rPr>
            <w:rFonts w:hint="default" w:ascii="Times New Roman" w:hAnsi="Times New Roman" w:cs="Times New Roman"/>
            <w:sz w:val="36"/>
            <w:szCs w:val="36"/>
          </w:rPr>
          <w:id w:val="147472114"/>
          <w:showingPlcHdr/>
          <w:docPartObj>
            <w:docPartGallery w:val="Table of Contents"/>
            <w:docPartUnique/>
          </w:docPartObj>
        </w:sdtPr>
        <w:sdtEndPr>
          <w:rPr>
            <w:rFonts w:hint="default" w:ascii="Times New Roman" w:hAnsi="Times New Roman" w:cs="Times New Roman"/>
            <w:sz w:val="22"/>
            <w:szCs w:val="22"/>
          </w:rPr>
        </w:sdtEndPr>
        <w:sdtContent>
          <w:r>
            <w:rPr>
              <w:rFonts w:hint="default" w:ascii="Times New Roman" w:hAnsi="Times New Roman" w:cs="Times New Roman"/>
              <w:sz w:val="36"/>
              <w:szCs w:val="36"/>
              <w:lang w:val="en-IN"/>
            </w:rPr>
            <w:t xml:space="preserve">     </w:t>
          </w:r>
        </w:sdtContent>
      </w:sdt>
      <w:r>
        <w:rPr>
          <w:rFonts w:hint="default" w:ascii="Times New Roman" w:hAnsi="Times New Roman" w:cs="Times New Roman"/>
          <w:b/>
          <w:bCs/>
          <w:sz w:val="36"/>
          <w:szCs w:val="36"/>
        </w:rPr>
        <w:t>Data Visualization Project - Team Technerds</w:t>
      </w:r>
    </w:p>
    <w:bookmarkEnd w:id="0"/>
    <w:p w14:paraId="1FC0739B">
      <w:pPr>
        <w:pStyle w:val="2"/>
        <w:rPr>
          <w:rFonts w:hint="default" w:ascii="Times New Roman" w:hAnsi="Times New Roman" w:cs="Times New Roman"/>
          <w:sz w:val="36"/>
          <w:szCs w:val="36"/>
        </w:rPr>
      </w:pPr>
      <w:bookmarkStart w:id="1" w:name="X1c555f901308e0ca1fe83531c356e1a10b9c010"/>
      <w:r>
        <w:rPr>
          <w:rFonts w:hint="default" w:ascii="Times New Roman" w:hAnsi="Times New Roman" w:cs="Times New Roman"/>
          <w:b/>
          <w:bCs/>
          <w:sz w:val="36"/>
          <w:szCs w:val="36"/>
        </w:rPr>
        <w:t>1. Project Overview</w:t>
      </w:r>
    </w:p>
    <w:p w14:paraId="491B977B">
      <w:pPr>
        <w:pStyle w:val="23"/>
        <w:rPr>
          <w:rFonts w:hint="default" w:ascii="Times New Roman" w:hAnsi="Times New Roman" w:cs="Times New Roman"/>
          <w:sz w:val="22"/>
          <w:szCs w:val="22"/>
        </w:rPr>
      </w:pPr>
      <w:r>
        <w:rPr>
          <w:rFonts w:hint="default" w:ascii="Times New Roman" w:hAnsi="Times New Roman" w:cs="Times New Roman"/>
          <w:sz w:val="22"/>
          <w:szCs w:val="22"/>
        </w:rPr>
        <w:t>This project aims to analyze and visually explore factors influencing loan repayment behavior for a finance company operating in urban regions. The goal is to help the company better identify trustworthy applicants, reduce defaults, and strengthen the credit evaluation process.</w:t>
      </w:r>
    </w:p>
    <w:p w14:paraId="6D05F7FC">
      <w:pPr>
        <w:pStyle w:val="3"/>
        <w:rPr>
          <w:rFonts w:hint="default" w:ascii="Times New Roman" w:hAnsi="Times New Roman" w:cs="Times New Roman"/>
          <w:sz w:val="22"/>
          <w:szCs w:val="22"/>
        </w:rPr>
      </w:pPr>
      <w:r>
        <w:rPr>
          <w:rFonts w:hint="default" w:ascii="Times New Roman" w:hAnsi="Times New Roman" w:cs="Times New Roman"/>
          <w:sz w:val="22"/>
          <w:szCs w:val="22"/>
        </w:rPr>
        <w:t>The analysis is conducted using t</w:t>
      </w:r>
      <w:bookmarkStart w:id="68" w:name="_GoBack"/>
      <w:bookmarkEnd w:id="68"/>
      <w:r>
        <w:rPr>
          <w:rFonts w:hint="default" w:ascii="Times New Roman" w:hAnsi="Times New Roman" w:cs="Times New Roman"/>
          <w:sz w:val="22"/>
          <w:szCs w:val="22"/>
        </w:rPr>
        <w:t>hree datasets:</w:t>
      </w:r>
    </w:p>
    <w:p w14:paraId="7F05811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application_data.csv</w:t>
      </w:r>
      <w:r>
        <w:rPr>
          <w:rFonts w:hint="default" w:ascii="Times New Roman" w:hAnsi="Times New Roman" w:cs="Times New Roman"/>
          <w:sz w:val="22"/>
          <w:szCs w:val="22"/>
        </w:rPr>
        <w:t xml:space="preserve"> – Client-level information recorded during loan application.</w:t>
      </w:r>
    </w:p>
    <w:p w14:paraId="5B72118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previous_application.csv</w:t>
      </w:r>
      <w:r>
        <w:rPr>
          <w:rFonts w:hint="default" w:ascii="Times New Roman" w:hAnsi="Times New Roman" w:cs="Times New Roman"/>
          <w:sz w:val="22"/>
          <w:szCs w:val="22"/>
        </w:rPr>
        <w:t xml:space="preserve"> – History of earlier applications and their approval outcomes.</w:t>
      </w:r>
    </w:p>
    <w:p w14:paraId="352DCCF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columns_description.csv</w:t>
      </w:r>
      <w:r>
        <w:rPr>
          <w:rFonts w:hint="default" w:ascii="Times New Roman" w:hAnsi="Times New Roman" w:cs="Times New Roman"/>
          <w:sz w:val="22"/>
          <w:szCs w:val="22"/>
        </w:rPr>
        <w:t xml:space="preserve"> – Metadata dictionary explaining all variables.</w:t>
      </w:r>
    </w:p>
    <w:p w14:paraId="1BEF68FB">
      <w:pPr>
        <w:pStyle w:val="23"/>
        <w:rPr>
          <w:rFonts w:hint="default" w:ascii="Times New Roman" w:hAnsi="Times New Roman" w:cs="Times New Roman"/>
          <w:sz w:val="22"/>
          <w:szCs w:val="22"/>
        </w:rPr>
      </w:pPr>
      <w:r>
        <w:rPr>
          <w:rFonts w:hint="default" w:ascii="Times New Roman" w:hAnsi="Times New Roman" w:cs="Times New Roman"/>
          <w:sz w:val="22"/>
          <w:szCs w:val="22"/>
        </w:rPr>
        <w:t>The final outcomes include structured EDA, feature engineering, insights, and a foundation for an interactive dashboard.</w:t>
      </w:r>
    </w:p>
    <w:bookmarkEnd w:id="1"/>
    <w:p w14:paraId="2487E265">
      <w:pPr>
        <w:pStyle w:val="2"/>
        <w:rPr>
          <w:rFonts w:hint="default" w:ascii="Times New Roman" w:hAnsi="Times New Roman" w:cs="Times New Roman"/>
          <w:sz w:val="36"/>
          <w:szCs w:val="36"/>
        </w:rPr>
      </w:pPr>
      <w:bookmarkStart w:id="2" w:name="X48350a5027fdd17ee6e6a3cbefc9aebd15b3c76"/>
      <w:r>
        <w:rPr>
          <w:rFonts w:hint="default" w:ascii="Times New Roman" w:hAnsi="Times New Roman" w:cs="Times New Roman"/>
          <w:b/>
          <w:bCs/>
          <w:sz w:val="36"/>
          <w:szCs w:val="36"/>
        </w:rPr>
        <w:t>Data Exploration, Cleaning &amp; Initial Insights</w:t>
      </w:r>
    </w:p>
    <w:p w14:paraId="35F32EC9">
      <w:pPr>
        <w:pStyle w:val="4"/>
        <w:rPr>
          <w:rFonts w:hint="default" w:ascii="Times New Roman" w:hAnsi="Times New Roman" w:cs="Times New Roman"/>
          <w:sz w:val="28"/>
          <w:szCs w:val="28"/>
        </w:rPr>
      </w:pPr>
      <w:bookmarkStart w:id="3" w:name="X75722362740a1500364ee5d2a6ea4bf6fc560ad"/>
      <w:r>
        <w:rPr>
          <w:rFonts w:hint="default" w:ascii="Times New Roman" w:hAnsi="Times New Roman" w:cs="Times New Roman"/>
          <w:b/>
          <w:bCs/>
          <w:sz w:val="28"/>
          <w:szCs w:val="28"/>
        </w:rPr>
        <w:t>1. Business Understanding</w:t>
      </w:r>
    </w:p>
    <w:p w14:paraId="127FC58C">
      <w:pPr>
        <w:pStyle w:val="5"/>
        <w:rPr>
          <w:rFonts w:hint="default" w:ascii="Times New Roman" w:hAnsi="Times New Roman" w:cs="Times New Roman"/>
          <w:sz w:val="24"/>
          <w:szCs w:val="24"/>
        </w:rPr>
      </w:pPr>
      <w:bookmarkStart w:id="4" w:name="business-goal"/>
      <w:r>
        <w:rPr>
          <w:rFonts w:hint="default" w:ascii="Times New Roman" w:hAnsi="Times New Roman" w:cs="Times New Roman"/>
          <w:b/>
          <w:bCs/>
          <w:sz w:val="24"/>
          <w:szCs w:val="24"/>
        </w:rPr>
        <w:t>Business Goal</w:t>
      </w:r>
    </w:p>
    <w:p w14:paraId="3DCC9D32">
      <w:pPr>
        <w:pStyle w:val="23"/>
        <w:rPr>
          <w:rFonts w:hint="default" w:ascii="Times New Roman" w:hAnsi="Times New Roman" w:cs="Times New Roman"/>
          <w:sz w:val="22"/>
          <w:szCs w:val="22"/>
        </w:rPr>
      </w:pPr>
      <w:r>
        <w:rPr>
          <w:rFonts w:hint="default" w:ascii="Times New Roman" w:hAnsi="Times New Roman" w:cs="Times New Roman"/>
          <w:sz w:val="22"/>
          <w:szCs w:val="22"/>
        </w:rPr>
        <w:t>The primary objective is to minimize financial losses from loan defaults while maximizing the approval of creditworthy applicants. By analyzing historical loan application data, we aim to identify key indicators of default risk. This will enable the credit team to refine their approval criteria, implement risk-based pricing, or flag high-risk applications for manual review.</w:t>
      </w:r>
    </w:p>
    <w:bookmarkEnd w:id="4"/>
    <w:p w14:paraId="797B4CA9">
      <w:pPr>
        <w:pStyle w:val="5"/>
        <w:rPr>
          <w:rFonts w:hint="default" w:ascii="Times New Roman" w:hAnsi="Times New Roman" w:cs="Times New Roman"/>
          <w:sz w:val="24"/>
          <w:szCs w:val="24"/>
        </w:rPr>
      </w:pPr>
      <w:bookmarkStart w:id="5" w:name="key-analysis-questions"/>
      <w:r>
        <w:rPr>
          <w:rFonts w:hint="default" w:ascii="Times New Roman" w:hAnsi="Times New Roman" w:cs="Times New Roman"/>
          <w:b/>
          <w:bCs/>
          <w:sz w:val="24"/>
          <w:szCs w:val="24"/>
        </w:rPr>
        <w:t>Key Analysis Questions</w:t>
      </w:r>
    </w:p>
    <w:p w14:paraId="0D27A527">
      <w:pPr>
        <w:pStyle w:val="24"/>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What are the defining characteristics of applicants who default versus those who repay?</w:t>
      </w:r>
      <w:r>
        <w:rPr>
          <w:rFonts w:hint="default" w:ascii="Times New Roman" w:hAnsi="Times New Roman" w:cs="Times New Roman"/>
          <w:sz w:val="22"/>
          <w:szCs w:val="22"/>
        </w:rPr>
        <w:t xml:space="preserve"> (Demographics, Income, Employment)</w:t>
      </w:r>
    </w:p>
    <w:p w14:paraId="279E6412">
      <w:pPr>
        <w:pStyle w:val="24"/>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How does financial stability (Income, Credit Amount, Annuity) correlate with default risk?</w:t>
      </w:r>
    </w:p>
    <w:p w14:paraId="2ED59FF5">
      <w:pPr>
        <w:pStyle w:val="24"/>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Are there specific loan types or contract terms associated with higher default rates?</w:t>
      </w:r>
    </w:p>
    <w:p w14:paraId="784DB550">
      <w:pPr>
        <w:pStyle w:val="24"/>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How does previous loan history influence current application performance?</w:t>
      </w:r>
    </w:p>
    <w:p w14:paraId="1FDD0512">
      <w:pPr>
        <w:pStyle w:val="24"/>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What data quality issues (missing values, outliers) need to be addressed before modeling?</w:t>
      </w:r>
    </w:p>
    <w:bookmarkEnd w:id="3"/>
    <w:bookmarkEnd w:id="5"/>
    <w:p w14:paraId="35FFB498">
      <w:pPr>
        <w:pStyle w:val="4"/>
        <w:rPr>
          <w:rFonts w:hint="default" w:ascii="Times New Roman" w:hAnsi="Times New Roman" w:cs="Times New Roman"/>
          <w:sz w:val="28"/>
          <w:szCs w:val="28"/>
        </w:rPr>
      </w:pPr>
      <w:bookmarkStart w:id="6" w:name="Xc00334485f4d609e96f079dd7abf6e35cc0f5d5"/>
      <w:r>
        <w:rPr>
          <w:rFonts w:hint="default" w:ascii="Times New Roman" w:hAnsi="Times New Roman" w:cs="Times New Roman"/>
          <w:b/>
          <w:bCs/>
          <w:sz w:val="28"/>
          <w:szCs w:val="28"/>
        </w:rPr>
        <w:t>2. Data Structure &amp; Quality Assessment</w:t>
      </w:r>
    </w:p>
    <w:p w14:paraId="25DD73DD">
      <w:pPr>
        <w:pStyle w:val="5"/>
        <w:rPr>
          <w:rFonts w:hint="default" w:ascii="Times New Roman" w:hAnsi="Times New Roman" w:cs="Times New Roman"/>
          <w:sz w:val="24"/>
          <w:szCs w:val="24"/>
        </w:rPr>
      </w:pPr>
      <w:bookmarkStart w:id="7" w:name="dataset-overview"/>
      <w:r>
        <w:rPr>
          <w:rFonts w:hint="default" w:ascii="Times New Roman" w:hAnsi="Times New Roman" w:cs="Times New Roman"/>
          <w:b/>
          <w:bCs/>
          <w:sz w:val="24"/>
          <w:szCs w:val="24"/>
        </w:rPr>
        <w:t>Dataset Overview</w:t>
      </w:r>
    </w:p>
    <w:p w14:paraId="66100039">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Application Data</w:t>
      </w:r>
      <w:r>
        <w:rPr>
          <w:rFonts w:hint="default" w:ascii="Times New Roman" w:hAnsi="Times New Roman" w:cs="Times New Roman"/>
          <w:sz w:val="22"/>
          <w:szCs w:val="22"/>
        </w:rPr>
        <w:t>: Contains client-level information for current loan applications.</w:t>
      </w:r>
    </w:p>
    <w:p w14:paraId="101C3088">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Shape</w:t>
      </w:r>
      <w:r>
        <w:rPr>
          <w:rFonts w:hint="default" w:ascii="Times New Roman" w:hAnsi="Times New Roman" w:cs="Times New Roman"/>
          <w:sz w:val="22"/>
          <w:szCs w:val="22"/>
        </w:rPr>
        <w:t>: (307,511 rows, 122 columns)</w:t>
      </w:r>
    </w:p>
    <w:p w14:paraId="14EFBA80">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Target Variable</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TARGET</w:t>
      </w:r>
      <w:r>
        <w:rPr>
          <w:rFonts w:hint="default" w:ascii="Times New Roman" w:hAnsi="Times New Roman" w:cs="Times New Roman"/>
          <w:sz w:val="22"/>
          <w:szCs w:val="22"/>
        </w:rPr>
        <w:t xml:space="preserve"> (1 = Default, 0 = Repaid)</w:t>
      </w:r>
    </w:p>
    <w:p w14:paraId="61050E07">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556000"/>
            <wp:effectExtent l="0" t="0" r="0" b="0"/>
            <wp:docPr id="15" name="Picture" descr="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Target Distribution"/>
                    <pic:cNvPicPr>
                      <a:picLocks noChangeAspect="1" noChangeArrowheads="1"/>
                    </pic:cNvPicPr>
                  </pic:nvPicPr>
                  <pic:blipFill>
                    <a:blip r:embed="rId5"/>
                    <a:stretch>
                      <a:fillRect/>
                    </a:stretch>
                  </pic:blipFill>
                  <pic:spPr>
                    <a:xfrm>
                      <a:off x="0" y="0"/>
                      <a:ext cx="5334000" cy="3556000"/>
                    </a:xfrm>
                    <a:prstGeom prst="rect">
                      <a:avLst/>
                    </a:prstGeom>
                    <a:noFill/>
                    <a:ln w="9525">
                      <a:noFill/>
                    </a:ln>
                  </pic:spPr>
                </pic:pic>
              </a:graphicData>
            </a:graphic>
          </wp:inline>
        </w:drawing>
      </w:r>
    </w:p>
    <w:p w14:paraId="44922B55">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Previous Application Data</w:t>
      </w:r>
      <w:r>
        <w:rPr>
          <w:rFonts w:hint="default" w:ascii="Times New Roman" w:hAnsi="Times New Roman" w:cs="Times New Roman"/>
          <w:sz w:val="22"/>
          <w:szCs w:val="22"/>
        </w:rPr>
        <w:t>: History of previous loans for the same clients.</w:t>
      </w:r>
    </w:p>
    <w:p w14:paraId="2021BA3D">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Shape</w:t>
      </w:r>
      <w:r>
        <w:rPr>
          <w:rFonts w:hint="default" w:ascii="Times New Roman" w:hAnsi="Times New Roman" w:cs="Times New Roman"/>
          <w:sz w:val="22"/>
          <w:szCs w:val="22"/>
        </w:rPr>
        <w:t>: (1,670,214 rows, 37 columns)</w:t>
      </w:r>
    </w:p>
    <w:p w14:paraId="735F91FD">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Column Descriptions</w:t>
      </w:r>
      <w:r>
        <w:rPr>
          <w:rFonts w:hint="default" w:ascii="Times New Roman" w:hAnsi="Times New Roman" w:cs="Times New Roman"/>
          <w:sz w:val="22"/>
          <w:szCs w:val="22"/>
        </w:rPr>
        <w:t>: Metadata explaining the features.</w:t>
      </w:r>
    </w:p>
    <w:bookmarkEnd w:id="7"/>
    <w:p w14:paraId="781B065C">
      <w:pPr>
        <w:pStyle w:val="5"/>
        <w:rPr>
          <w:rFonts w:hint="default" w:ascii="Times New Roman" w:hAnsi="Times New Roman" w:cs="Times New Roman"/>
          <w:sz w:val="24"/>
          <w:szCs w:val="24"/>
        </w:rPr>
      </w:pPr>
      <w:bookmarkStart w:id="8" w:name="data-quality-issues"/>
      <w:r>
        <w:rPr>
          <w:rFonts w:hint="default" w:ascii="Times New Roman" w:hAnsi="Times New Roman" w:cs="Times New Roman"/>
          <w:b/>
          <w:bCs/>
          <w:sz w:val="24"/>
          <w:szCs w:val="24"/>
        </w:rPr>
        <w:t>Data Quality Issues</w:t>
      </w:r>
    </w:p>
    <w:p w14:paraId="6C28776A">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Missing Values</w:t>
      </w:r>
      <w:r>
        <w:rPr>
          <w:rFonts w:hint="default" w:ascii="Times New Roman" w:hAnsi="Times New Roman" w:cs="Times New Roman"/>
          <w:sz w:val="22"/>
          <w:szCs w:val="22"/>
        </w:rPr>
        <w:t>:</w:t>
      </w:r>
    </w:p>
    <w:p w14:paraId="7DBB8244">
      <w:pPr>
        <w:pStyle w:val="24"/>
        <w:numPr>
          <w:ilvl w:val="1"/>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Significant missing data in several columns. Top missing columns include housing-related information (e.g., </w:t>
      </w:r>
      <w:r>
        <w:rPr>
          <w:rStyle w:val="48"/>
          <w:rFonts w:hint="default" w:ascii="Times New Roman" w:hAnsi="Times New Roman" w:cs="Times New Roman"/>
          <w:sz w:val="21"/>
          <w:szCs w:val="22"/>
        </w:rPr>
        <w:t>COMMONAREA_AVG</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NONLIVINGAPARTMENTS_AVG</w:t>
      </w:r>
      <w:r>
        <w:rPr>
          <w:rFonts w:hint="default" w:ascii="Times New Roman" w:hAnsi="Times New Roman" w:cs="Times New Roman"/>
          <w:sz w:val="22"/>
          <w:szCs w:val="22"/>
        </w:rPr>
        <w:t>) and external source scores.</w:t>
      </w:r>
    </w:p>
    <w:p w14:paraId="7AEC0C51">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Action</w:t>
      </w:r>
      <w:r>
        <w:rPr>
          <w:rFonts w:hint="default" w:ascii="Times New Roman" w:hAnsi="Times New Roman" w:cs="Times New Roman"/>
          <w:sz w:val="22"/>
          <w:szCs w:val="22"/>
        </w:rPr>
        <w:t>: We will need to decide on imputation strategies (median, mode, or creating a "missing" category) or drop columns with excessive missingness (&gt;50%) if they lack predictive power.</w:t>
      </w:r>
    </w:p>
    <w:p w14:paraId="70207D1C">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19" name="Picture" descr="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Missing Values"/>
                    <pic:cNvPicPr>
                      <a:picLocks noChangeAspect="1" noChangeArrowheads="1"/>
                    </pic:cNvPicPr>
                  </pic:nvPicPr>
                  <pic:blipFill>
                    <a:blip r:embed="rId6"/>
                    <a:stretch>
                      <a:fillRect/>
                    </a:stretch>
                  </pic:blipFill>
                  <pic:spPr>
                    <a:xfrm>
                      <a:off x="0" y="0"/>
                      <a:ext cx="5334000" cy="2667000"/>
                    </a:xfrm>
                    <a:prstGeom prst="rect">
                      <a:avLst/>
                    </a:prstGeom>
                    <a:noFill/>
                    <a:ln w="9525">
                      <a:noFill/>
                    </a:ln>
                  </pic:spPr>
                </pic:pic>
              </a:graphicData>
            </a:graphic>
          </wp:inline>
        </w:drawing>
      </w:r>
    </w:p>
    <w:p w14:paraId="4DDC08DC">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Outliers</w:t>
      </w:r>
      <w:r>
        <w:rPr>
          <w:rFonts w:hint="default" w:ascii="Times New Roman" w:hAnsi="Times New Roman" w:cs="Times New Roman"/>
          <w:sz w:val="22"/>
          <w:szCs w:val="22"/>
        </w:rPr>
        <w:t>:</w:t>
      </w:r>
    </w:p>
    <w:p w14:paraId="67157F2B">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AMT_INCOME_TOTAL</w:t>
      </w:r>
      <w:r>
        <w:rPr>
          <w:rFonts w:hint="default" w:ascii="Times New Roman" w:hAnsi="Times New Roman" w:cs="Times New Roman"/>
          <w:sz w:val="22"/>
          <w:szCs w:val="22"/>
        </w:rPr>
        <w:t xml:space="preserve"> shows extreme outliers (e.g., max value is likely an error or a very high-net-worth individual). These will need capping or log-transformation.</w:t>
      </w:r>
    </w:p>
    <w:p w14:paraId="1ED46506">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22" name="Picture" descr="Inco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Income Distribution"/>
                    <pic:cNvPicPr>
                      <a:picLocks noChangeAspect="1" noChangeArrowheads="1"/>
                    </pic:cNvPicPr>
                  </pic:nvPicPr>
                  <pic:blipFill>
                    <a:blip r:embed="rId7"/>
                    <a:stretch>
                      <a:fillRect/>
                    </a:stretch>
                  </pic:blipFill>
                  <pic:spPr>
                    <a:xfrm>
                      <a:off x="0" y="0"/>
                      <a:ext cx="5334000" cy="2667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1066800"/>
            <wp:effectExtent l="0" t="0" r="0" b="0"/>
            <wp:docPr id="25" name="Picture" descr="Income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Income Boxplot"/>
                    <pic:cNvPicPr>
                      <a:picLocks noChangeAspect="1" noChangeArrowheads="1"/>
                    </pic:cNvPicPr>
                  </pic:nvPicPr>
                  <pic:blipFill>
                    <a:blip r:embed="rId8"/>
                    <a:stretch>
                      <a:fillRect/>
                    </a:stretch>
                  </pic:blipFill>
                  <pic:spPr>
                    <a:xfrm>
                      <a:off x="0" y="0"/>
                      <a:ext cx="5334000" cy="1066800"/>
                    </a:xfrm>
                    <a:prstGeom prst="rect">
                      <a:avLst/>
                    </a:prstGeom>
                    <a:noFill/>
                    <a:ln w="9525">
                      <a:noFill/>
                    </a:ln>
                  </pic:spPr>
                </pic:pic>
              </a:graphicData>
            </a:graphic>
          </wp:inline>
        </w:drawing>
      </w:r>
    </w:p>
    <w:p w14:paraId="7E0BFD0A">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Days Employed</w:t>
      </w:r>
      <w:r>
        <w:rPr>
          <w:rFonts w:hint="default" w:ascii="Times New Roman" w:hAnsi="Times New Roman" w:cs="Times New Roman"/>
          <w:sz w:val="22"/>
          <w:szCs w:val="22"/>
        </w:rPr>
        <w:t>: There are anomalous values (e.g., 365243) which likely represent a placeholder for "unemployed" or "pensioner". This needs to be cleaned.</w:t>
      </w:r>
    </w:p>
    <w:bookmarkEnd w:id="6"/>
    <w:bookmarkEnd w:id="8"/>
    <w:p w14:paraId="12804E66">
      <w:pPr>
        <w:pStyle w:val="4"/>
        <w:rPr>
          <w:rFonts w:hint="default" w:ascii="Times New Roman" w:hAnsi="Times New Roman" w:cs="Times New Roman"/>
          <w:sz w:val="28"/>
          <w:szCs w:val="28"/>
        </w:rPr>
      </w:pPr>
      <w:bookmarkStart w:id="9" w:name="X41d7dcb4de28570635d09fbe3d229a92b6e5f3d"/>
      <w:r>
        <w:rPr>
          <w:rFonts w:hint="default" w:ascii="Times New Roman" w:hAnsi="Times New Roman" w:cs="Times New Roman"/>
          <w:b/>
          <w:bCs/>
          <w:sz w:val="28"/>
          <w:szCs w:val="28"/>
        </w:rPr>
        <w:t>3. Initial Exploratory Insights</w:t>
      </w:r>
    </w:p>
    <w:p w14:paraId="54720BBB">
      <w:pPr>
        <w:pStyle w:val="5"/>
        <w:rPr>
          <w:rFonts w:hint="default" w:ascii="Times New Roman" w:hAnsi="Times New Roman" w:cs="Times New Roman"/>
          <w:sz w:val="24"/>
          <w:szCs w:val="24"/>
        </w:rPr>
      </w:pPr>
      <w:bookmarkStart w:id="10" w:name="borrower-profiles--default-proportions"/>
      <w:r>
        <w:rPr>
          <w:rFonts w:hint="default" w:ascii="Times New Roman" w:hAnsi="Times New Roman" w:cs="Times New Roman"/>
          <w:b/>
          <w:bCs/>
          <w:sz w:val="24"/>
          <w:szCs w:val="24"/>
        </w:rPr>
        <w:t>Borrower Profiles &amp; Default Proportions</w:t>
      </w:r>
    </w:p>
    <w:p w14:paraId="5310FC61">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Target Distribution</w:t>
      </w:r>
      <w:r>
        <w:rPr>
          <w:rFonts w:hint="default" w:ascii="Times New Roman" w:hAnsi="Times New Roman" w:cs="Times New Roman"/>
          <w:sz w:val="22"/>
          <w:szCs w:val="22"/>
        </w:rPr>
        <w:t>: The vast majority of loans are repaid. The 8% default rate is the critical minority we need to characterize.</w:t>
      </w:r>
    </w:p>
    <w:p w14:paraId="503A0682">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Contract Type</w:t>
      </w:r>
      <w:r>
        <w:rPr>
          <w:rFonts w:hint="default" w:ascii="Times New Roman" w:hAnsi="Times New Roman" w:cs="Times New Roman"/>
          <w:sz w:val="22"/>
          <w:szCs w:val="22"/>
        </w:rPr>
        <w:t>:</w:t>
      </w:r>
    </w:p>
    <w:p w14:paraId="465B01D1">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Cash Loans</w:t>
      </w:r>
      <w:r>
        <w:rPr>
          <w:rFonts w:hint="default" w:ascii="Times New Roman" w:hAnsi="Times New Roman" w:cs="Times New Roman"/>
          <w:sz w:val="22"/>
          <w:szCs w:val="22"/>
        </w:rPr>
        <w:t>: Make up the majority of applications.</w:t>
      </w:r>
    </w:p>
    <w:p w14:paraId="14FB70FC">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Revolving Loans</w:t>
      </w:r>
      <w:r>
        <w:rPr>
          <w:rFonts w:hint="default" w:ascii="Times New Roman" w:hAnsi="Times New Roman" w:cs="Times New Roman"/>
          <w:sz w:val="22"/>
          <w:szCs w:val="22"/>
        </w:rPr>
        <w:t>: Have a lower volume but potentially different risk profile.</w:t>
      </w:r>
    </w:p>
    <w:p w14:paraId="20CC0151">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30" name="Picture" descr="Contract Typ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Contract Type Count"/>
                    <pic:cNvPicPr>
                      <a:picLocks noChangeAspect="1" noChangeArrowheads="1"/>
                    </pic:cNvPicPr>
                  </pic:nvPicPr>
                  <pic:blipFill>
                    <a:blip r:embed="rId9"/>
                    <a:stretch>
                      <a:fillRect/>
                    </a:stretch>
                  </pic:blipFill>
                  <pic:spPr>
                    <a:xfrm>
                      <a:off x="0" y="0"/>
                      <a:ext cx="5334000" cy="2667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2667000"/>
            <wp:effectExtent l="0" t="0" r="0" b="0"/>
            <wp:docPr id="33" name="Picture" descr="Contract Type Defaul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Contract Type Default Rate"/>
                    <pic:cNvPicPr>
                      <a:picLocks noChangeAspect="1" noChangeArrowheads="1"/>
                    </pic:cNvPicPr>
                  </pic:nvPicPr>
                  <pic:blipFill>
                    <a:blip r:embed="rId10"/>
                    <a:stretch>
                      <a:fillRect/>
                    </a:stretch>
                  </pic:blipFill>
                  <pic:spPr>
                    <a:xfrm>
                      <a:off x="0" y="0"/>
                      <a:ext cx="5334000" cy="2667000"/>
                    </a:xfrm>
                    <a:prstGeom prst="rect">
                      <a:avLst/>
                    </a:prstGeom>
                    <a:noFill/>
                    <a:ln w="9525">
                      <a:noFill/>
                    </a:ln>
                  </pic:spPr>
                </pic:pic>
              </a:graphicData>
            </a:graphic>
          </wp:inline>
        </w:drawing>
      </w:r>
    </w:p>
    <w:p w14:paraId="7987AB49">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Gender</w:t>
      </w:r>
      <w:r>
        <w:rPr>
          <w:rFonts w:hint="default" w:ascii="Times New Roman" w:hAnsi="Times New Roman" w:cs="Times New Roman"/>
          <w:sz w:val="22"/>
          <w:szCs w:val="22"/>
        </w:rPr>
        <w:t>:</w:t>
      </w:r>
    </w:p>
    <w:p w14:paraId="166BC867">
      <w:pPr>
        <w:pStyle w:val="24"/>
        <w:numPr>
          <w:ilvl w:val="1"/>
          <w:numId w:val="1"/>
        </w:numPr>
        <w:rPr>
          <w:rFonts w:hint="default" w:ascii="Times New Roman" w:hAnsi="Times New Roman" w:cs="Times New Roman"/>
          <w:sz w:val="22"/>
          <w:szCs w:val="22"/>
        </w:rPr>
      </w:pPr>
      <w:r>
        <w:rPr>
          <w:rFonts w:hint="default" w:ascii="Times New Roman" w:hAnsi="Times New Roman" w:cs="Times New Roman"/>
          <w:sz w:val="22"/>
          <w:szCs w:val="22"/>
        </w:rPr>
        <w:t>Females tend to apply more frequently than males.</w:t>
      </w:r>
    </w:p>
    <w:p w14:paraId="13A3D447">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Initial checks suggest males might have a slightly higher default rate (to be confirmed with statistical tests).</w:t>
      </w:r>
    </w:p>
    <w:p w14:paraId="659285E1">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36" name="Picture" descr="Gend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Gender Count"/>
                    <pic:cNvPicPr>
                      <a:picLocks noChangeAspect="1" noChangeArrowheads="1"/>
                    </pic:cNvPicPr>
                  </pic:nvPicPr>
                  <pic:blipFill>
                    <a:blip r:embed="rId11"/>
                    <a:stretch>
                      <a:fillRect/>
                    </a:stretch>
                  </pic:blipFill>
                  <pic:spPr>
                    <a:xfrm>
                      <a:off x="0" y="0"/>
                      <a:ext cx="5334000" cy="2667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2667000"/>
            <wp:effectExtent l="0" t="0" r="0" b="0"/>
            <wp:docPr id="39" name="Picture" descr="Gender Defaul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Gender Default Rate"/>
                    <pic:cNvPicPr>
                      <a:picLocks noChangeAspect="1" noChangeArrowheads="1"/>
                    </pic:cNvPicPr>
                  </pic:nvPicPr>
                  <pic:blipFill>
                    <a:blip r:embed="rId12"/>
                    <a:stretch>
                      <a:fillRect/>
                    </a:stretch>
                  </pic:blipFill>
                  <pic:spPr>
                    <a:xfrm>
                      <a:off x="0" y="0"/>
                      <a:ext cx="5334000" cy="2667000"/>
                    </a:xfrm>
                    <a:prstGeom prst="rect">
                      <a:avLst/>
                    </a:prstGeom>
                    <a:noFill/>
                    <a:ln w="9525">
                      <a:noFill/>
                    </a:ln>
                  </pic:spPr>
                </pic:pic>
              </a:graphicData>
            </a:graphic>
          </wp:inline>
        </w:drawing>
      </w:r>
    </w:p>
    <w:p w14:paraId="4F761DDB">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Education</w:t>
      </w:r>
      <w:r>
        <w:rPr>
          <w:rFonts w:hint="default" w:ascii="Times New Roman" w:hAnsi="Times New Roman" w:cs="Times New Roman"/>
          <w:sz w:val="22"/>
          <w:szCs w:val="22"/>
        </w:rPr>
        <w:t>:</w:t>
      </w:r>
    </w:p>
    <w:p w14:paraId="4ACCE31C">
      <w:pPr>
        <w:pStyle w:val="24"/>
        <w:numPr>
          <w:ilvl w:val="1"/>
          <w:numId w:val="1"/>
        </w:numPr>
        <w:rPr>
          <w:rFonts w:hint="default" w:ascii="Times New Roman" w:hAnsi="Times New Roman" w:cs="Times New Roman"/>
          <w:sz w:val="22"/>
          <w:szCs w:val="22"/>
        </w:rPr>
      </w:pPr>
      <w:r>
        <w:rPr>
          <w:rFonts w:hint="default" w:ascii="Times New Roman" w:hAnsi="Times New Roman" w:cs="Times New Roman"/>
          <w:sz w:val="22"/>
          <w:szCs w:val="22"/>
        </w:rPr>
        <w:t>Applicants with "Secondary / secondary special" education are the most common.</w:t>
      </w:r>
    </w:p>
    <w:p w14:paraId="5FCDA77F">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Higher education levels generally correlate with lower default rates.</w:t>
      </w:r>
    </w:p>
    <w:p w14:paraId="31CBCD28">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42" name="Picture" descr="Education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Education Count"/>
                    <pic:cNvPicPr>
                      <a:picLocks noChangeAspect="1" noChangeArrowheads="1"/>
                    </pic:cNvPicPr>
                  </pic:nvPicPr>
                  <pic:blipFill>
                    <a:blip r:embed="rId13"/>
                    <a:stretch>
                      <a:fillRect/>
                    </a:stretch>
                  </pic:blipFill>
                  <pic:spPr>
                    <a:xfrm>
                      <a:off x="0" y="0"/>
                      <a:ext cx="5334000" cy="2667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2667000"/>
            <wp:effectExtent l="0" t="0" r="0" b="0"/>
            <wp:docPr id="45" name="Picture" descr="Education Defaul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Education Default Rate"/>
                    <pic:cNvPicPr>
                      <a:picLocks noChangeAspect="1" noChangeArrowheads="1"/>
                    </pic:cNvPicPr>
                  </pic:nvPicPr>
                  <pic:blipFill>
                    <a:blip r:embed="rId14"/>
                    <a:stretch>
                      <a:fillRect/>
                    </a:stretch>
                  </pic:blipFill>
                  <pic:spPr>
                    <a:xfrm>
                      <a:off x="0" y="0"/>
                      <a:ext cx="5334000" cy="2667000"/>
                    </a:xfrm>
                    <a:prstGeom prst="rect">
                      <a:avLst/>
                    </a:prstGeom>
                    <a:noFill/>
                    <a:ln w="9525">
                      <a:noFill/>
                    </a:ln>
                  </pic:spPr>
                </pic:pic>
              </a:graphicData>
            </a:graphic>
          </wp:inline>
        </w:drawing>
      </w:r>
    </w:p>
    <w:p w14:paraId="09CB7D01">
      <w:pPr>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Financials</w:t>
      </w:r>
      <w:r>
        <w:rPr>
          <w:rFonts w:hint="default" w:ascii="Times New Roman" w:hAnsi="Times New Roman" w:cs="Times New Roman"/>
          <w:sz w:val="22"/>
          <w:szCs w:val="22"/>
        </w:rPr>
        <w:t>:</w:t>
      </w:r>
    </w:p>
    <w:p w14:paraId="45327D3A">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 Amount</w:t>
      </w:r>
      <w:r>
        <w:rPr>
          <w:rFonts w:hint="default" w:ascii="Times New Roman" w:hAnsi="Times New Roman" w:cs="Times New Roman"/>
          <w:sz w:val="22"/>
          <w:szCs w:val="22"/>
        </w:rPr>
        <w:t>: Distribution is right-skewed. Most loans are for smaller amounts, but there is a long tail of high-value loans.</w:t>
      </w:r>
    </w:p>
    <w:p w14:paraId="75C1EE60">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w:t>
      </w:r>
      <w:r>
        <w:rPr>
          <w:rFonts w:hint="default" w:ascii="Times New Roman" w:hAnsi="Times New Roman" w:cs="Times New Roman"/>
          <w:sz w:val="22"/>
          <w:szCs w:val="22"/>
        </w:rPr>
        <w:t>: Highly skewed. Most applicants have low to medium income.</w:t>
      </w:r>
    </w:p>
    <w:p w14:paraId="471281E3">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667000"/>
            <wp:effectExtent l="0" t="0" r="0" b="0"/>
            <wp:docPr id="48" name="Picture" descr="Credi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Credit Distribution"/>
                    <pic:cNvPicPr>
                      <a:picLocks noChangeAspect="1" noChangeArrowheads="1"/>
                    </pic:cNvPicPr>
                  </pic:nvPicPr>
                  <pic:blipFill>
                    <a:blip r:embed="rId15"/>
                    <a:stretch>
                      <a:fillRect/>
                    </a:stretch>
                  </pic:blipFill>
                  <pic:spPr>
                    <a:xfrm>
                      <a:off x="0" y="0"/>
                      <a:ext cx="5334000" cy="2667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2667000"/>
            <wp:effectExtent l="0" t="0" r="0" b="0"/>
            <wp:docPr id="51" name="Picture" descr="Annu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Annuity Distribution"/>
                    <pic:cNvPicPr>
                      <a:picLocks noChangeAspect="1" noChangeArrowheads="1"/>
                    </pic:cNvPicPr>
                  </pic:nvPicPr>
                  <pic:blipFill>
                    <a:blip r:embed="rId16"/>
                    <a:stretch>
                      <a:fillRect/>
                    </a:stretch>
                  </pic:blipFill>
                  <pic:spPr>
                    <a:xfrm>
                      <a:off x="0" y="0"/>
                      <a:ext cx="5334000" cy="2667000"/>
                    </a:xfrm>
                    <a:prstGeom prst="rect">
                      <a:avLst/>
                    </a:prstGeom>
                    <a:noFill/>
                    <a:ln w="9525">
                      <a:noFill/>
                    </a:ln>
                  </pic:spPr>
                </pic:pic>
              </a:graphicData>
            </a:graphic>
          </wp:inline>
        </w:drawing>
      </w:r>
    </w:p>
    <w:bookmarkEnd w:id="10"/>
    <w:p w14:paraId="7AC05453">
      <w:pPr>
        <w:pStyle w:val="5"/>
        <w:rPr>
          <w:rFonts w:hint="default" w:ascii="Times New Roman" w:hAnsi="Times New Roman" w:cs="Times New Roman"/>
          <w:sz w:val="24"/>
          <w:szCs w:val="24"/>
        </w:rPr>
      </w:pPr>
      <w:bookmarkStart w:id="11" w:name="initial-observations-summary"/>
      <w:r>
        <w:rPr>
          <w:rFonts w:hint="default" w:ascii="Times New Roman" w:hAnsi="Times New Roman" w:cs="Times New Roman"/>
          <w:b/>
          <w:bCs/>
          <w:sz w:val="24"/>
          <w:szCs w:val="24"/>
        </w:rPr>
        <w:t>Initial Observations Summary</w:t>
      </w:r>
    </w:p>
    <w:p w14:paraId="28DD2985">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data holds strong potential for predictive modeling but requires significant cleaning. The class imbalance is a major factor to consider. Key risk drivers appear to be education level, gender, and potentially the type of loan contract. The </w:t>
      </w:r>
      <w:r>
        <w:rPr>
          <w:rStyle w:val="48"/>
          <w:rFonts w:hint="default" w:ascii="Times New Roman" w:hAnsi="Times New Roman" w:cs="Times New Roman"/>
          <w:sz w:val="21"/>
          <w:szCs w:val="22"/>
        </w:rPr>
        <w:t>EXT_SOURCE</w:t>
      </w:r>
      <w:r>
        <w:rPr>
          <w:rFonts w:hint="default" w:ascii="Times New Roman" w:hAnsi="Times New Roman" w:cs="Times New Roman"/>
          <w:sz w:val="22"/>
          <w:szCs w:val="22"/>
        </w:rPr>
        <w:t xml:space="preserve"> variables (external credit scores) are likely to be strong predictors and should be prioritized despite missing values.</w:t>
      </w:r>
    </w:p>
    <w:bookmarkEnd w:id="2"/>
    <w:bookmarkEnd w:id="9"/>
    <w:bookmarkEnd w:id="11"/>
    <w:p w14:paraId="6A137625">
      <w:pPr>
        <w:pStyle w:val="2"/>
        <w:rPr>
          <w:rFonts w:hint="default" w:ascii="Times New Roman" w:hAnsi="Times New Roman" w:cs="Times New Roman"/>
          <w:sz w:val="36"/>
          <w:szCs w:val="36"/>
        </w:rPr>
      </w:pPr>
      <w:bookmarkStart w:id="12" w:name="feature-engineering"/>
      <w:r>
        <w:rPr>
          <w:rFonts w:hint="default" w:ascii="Times New Roman" w:hAnsi="Times New Roman" w:cs="Times New Roman"/>
          <w:b/>
          <w:bCs/>
          <w:sz w:val="36"/>
          <w:szCs w:val="36"/>
        </w:rPr>
        <w:t>Feature Engineering</w:t>
      </w:r>
    </w:p>
    <w:p w14:paraId="18B1875B">
      <w:pPr>
        <w:pStyle w:val="4"/>
        <w:rPr>
          <w:rFonts w:hint="default" w:ascii="Times New Roman" w:hAnsi="Times New Roman" w:cs="Times New Roman"/>
          <w:sz w:val="28"/>
          <w:szCs w:val="28"/>
        </w:rPr>
      </w:pPr>
      <w:bookmarkStart w:id="13" w:name="overview"/>
      <w:r>
        <w:rPr>
          <w:rFonts w:hint="default" w:ascii="Times New Roman" w:hAnsi="Times New Roman" w:cs="Times New Roman"/>
          <w:b/>
          <w:bCs/>
          <w:sz w:val="28"/>
          <w:szCs w:val="28"/>
        </w:rPr>
        <w:t>Overview</w:t>
      </w:r>
    </w:p>
    <w:p w14:paraId="2D696105">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feature engineering process was applied to the </w:t>
      </w:r>
      <w:r>
        <w:rPr>
          <w:rStyle w:val="48"/>
          <w:rFonts w:hint="default" w:ascii="Times New Roman" w:hAnsi="Times New Roman" w:cs="Times New Roman"/>
          <w:sz w:val="21"/>
          <w:szCs w:val="22"/>
        </w:rPr>
        <w:t>application_data.csv</w:t>
      </w:r>
      <w:r>
        <w:rPr>
          <w:rFonts w:hint="default" w:ascii="Times New Roman" w:hAnsi="Times New Roman" w:cs="Times New Roman"/>
          <w:sz w:val="22"/>
          <w:szCs w:val="22"/>
        </w:rPr>
        <w:t xml:space="preserve"> and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 xml:space="preserve"> datasets. The objective was to transform initially cleaned data into a concise, interpretable set of features that effectively capture borrower profiles, loan characteristics, and historical repayment behavior.</w:t>
      </w:r>
    </w:p>
    <w:p w14:paraId="37DF6448">
      <w:pPr>
        <w:pStyle w:val="3"/>
        <w:rPr>
          <w:rFonts w:hint="default" w:ascii="Times New Roman" w:hAnsi="Times New Roman" w:cs="Times New Roman"/>
          <w:sz w:val="22"/>
          <w:szCs w:val="22"/>
        </w:rPr>
      </w:pPr>
      <w:r>
        <w:rPr>
          <w:rFonts w:hint="default" w:ascii="Times New Roman" w:hAnsi="Times New Roman" w:cs="Times New Roman"/>
          <w:sz w:val="22"/>
          <w:szCs w:val="22"/>
        </w:rPr>
        <w:t>The process included domain-driven transformations, ratio calculations, time conversions, and careful aggregation of historical records. The resulting final dataset contains 307,511 observations and 68 columns, with no missing values and a preserved default rate of 8.073%. This engineered dataset is optimized for exploratory analysis, risk segmentation, and interactive visualization in Power BI.</w:t>
      </w:r>
    </w:p>
    <w:bookmarkEnd w:id="13"/>
    <w:p w14:paraId="106E71BB">
      <w:pPr>
        <w:pStyle w:val="4"/>
        <w:rPr>
          <w:rFonts w:hint="default" w:ascii="Times New Roman" w:hAnsi="Times New Roman" w:cs="Times New Roman"/>
          <w:sz w:val="28"/>
          <w:szCs w:val="28"/>
        </w:rPr>
      </w:pPr>
      <w:bookmarkStart w:id="14" w:name="X88780f33023253064a4641ab35c9eeae5252083"/>
      <w:r>
        <w:rPr>
          <w:rFonts w:hint="default" w:ascii="Times New Roman" w:hAnsi="Times New Roman" w:cs="Times New Roman"/>
          <w:b/>
          <w:bCs/>
          <w:sz w:val="28"/>
          <w:szCs w:val="28"/>
        </w:rPr>
        <w:t>1. Feature Engineering on Application Data</w:t>
      </w:r>
    </w:p>
    <w:p w14:paraId="5F6EE6EF">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engineered </w:t>
      </w:r>
      <w:r>
        <w:rPr>
          <w:rStyle w:val="48"/>
          <w:rFonts w:hint="default" w:ascii="Times New Roman" w:hAnsi="Times New Roman" w:cs="Times New Roman"/>
          <w:sz w:val="21"/>
          <w:szCs w:val="22"/>
        </w:rPr>
        <w:t>application_data</w:t>
      </w:r>
      <w:r>
        <w:rPr>
          <w:rFonts w:hint="default" w:ascii="Times New Roman" w:hAnsi="Times New Roman" w:cs="Times New Roman"/>
          <w:sz w:val="22"/>
          <w:szCs w:val="22"/>
        </w:rPr>
        <w:t xml:space="preserve"> dataset was reduced from 122 to approximately 52 columns through targeted transformations and selections. Key engineered features include:</w:t>
      </w:r>
    </w:p>
    <w:p w14:paraId="0E56FA7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AGE_AT_LOAN</w:t>
      </w:r>
      <w:r>
        <w:rPr>
          <w:rFonts w:hint="default" w:ascii="Times New Roman" w:hAnsi="Times New Roman" w:cs="Times New Roman"/>
          <w:sz w:val="22"/>
          <w:szCs w:val="22"/>
        </w:rPr>
        <w:t>: Age of the applicant in years at the time of loan application (derived from |DAYS_BIRTH| / 365.25). Provides an intuitive demographic variable for segmentation and correlation analysis with repayment behaviour.</w:t>
      </w:r>
    </w:p>
    <w:p w14:paraId="24E7FDC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JOB_AGE_AT_LOAN</w:t>
      </w:r>
      <w:r>
        <w:rPr>
          <w:rFonts w:hint="default" w:ascii="Times New Roman" w:hAnsi="Times New Roman" w:cs="Times New Roman"/>
          <w:sz w:val="22"/>
          <w:szCs w:val="22"/>
        </w:rPr>
        <w:t>: Years employed at the current job (derived from |DAYS_EMPLOYED| / 365.25, with anomalies flagged). Captures employment stability, a strong indicator of repayment capacity.</w:t>
      </w:r>
    </w:p>
    <w:p w14:paraId="07F12FB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REG_AGE_AT_LOAN</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ID_PUBLISH_AGE_AT_LOAN</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PHONE_AGE_AT_LOAN</w:t>
      </w:r>
      <w:r>
        <w:rPr>
          <w:rFonts w:hint="default" w:ascii="Times New Roman" w:hAnsi="Times New Roman" w:cs="Times New Roman"/>
          <w:sz w:val="22"/>
          <w:szCs w:val="22"/>
        </w:rPr>
        <w:t>: Years since registration, ID update, and phone change, respectively. Reflect potential life changes or data freshness relevant to risk assessment.</w:t>
      </w:r>
    </w:p>
    <w:p w14:paraId="77ED6898">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INCOME_TO_CREDIT_RATIO</w:t>
      </w:r>
      <w:r>
        <w:rPr>
          <w:rFonts w:hint="default" w:ascii="Times New Roman" w:hAnsi="Times New Roman" w:cs="Times New Roman"/>
          <w:sz w:val="22"/>
          <w:szCs w:val="22"/>
        </w:rPr>
        <w:t>: Total income divided by loan credit amount. Measures the applicant's ability to service the requested credit.</w:t>
      </w:r>
    </w:p>
    <w:p w14:paraId="6F32FF5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ANNUITY_TO_INCOME_RATIO</w:t>
      </w:r>
      <w:r>
        <w:rPr>
          <w:rFonts w:hint="default" w:ascii="Times New Roman" w:hAnsi="Times New Roman" w:cs="Times New Roman"/>
          <w:sz w:val="22"/>
          <w:szCs w:val="22"/>
        </w:rPr>
        <w:t>: Monthly annuity divided by total income. Indicates monthly repayment burden relative to income.</w:t>
      </w:r>
    </w:p>
    <w:p w14:paraId="7CE1DB8C">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CREDIT_TERM_MONTHS</w:t>
      </w:r>
      <w:r>
        <w:rPr>
          <w:rFonts w:hint="default" w:ascii="Times New Roman" w:hAnsi="Times New Roman" w:cs="Times New Roman"/>
          <w:sz w:val="22"/>
          <w:szCs w:val="22"/>
        </w:rPr>
        <w:t>: Estimated loan term in months (AMT_CREDIT / AMT_ANNUITY). Summarises loan duration for comparative analysis.</w:t>
      </w:r>
    </w:p>
    <w:p w14:paraId="45B4D14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INCOME_PER_FAMILY_MEMBER</w:t>
      </w:r>
      <w:r>
        <w:rPr>
          <w:rFonts w:hint="default" w:ascii="Times New Roman" w:hAnsi="Times New Roman" w:cs="Times New Roman"/>
          <w:sz w:val="22"/>
          <w:szCs w:val="22"/>
        </w:rPr>
        <w:t>: Income divided by family size (including applicant). Adjusts income for household dependencies.</w:t>
      </w:r>
    </w:p>
    <w:p w14:paraId="01CF05F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HAS_CHILDREN</w:t>
      </w:r>
      <w:r>
        <w:rPr>
          <w:rFonts w:hint="default" w:ascii="Times New Roman" w:hAnsi="Times New Roman" w:cs="Times New Roman"/>
          <w:sz w:val="22"/>
          <w:szCs w:val="22"/>
        </w:rPr>
        <w:t>: Binary indicator of presence of children. Enables direct segmentation by family structure.</w:t>
      </w:r>
    </w:p>
    <w:p w14:paraId="2C603FE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HAS_CAR_AND_REALTY</w:t>
      </w:r>
      <w:r>
        <w:rPr>
          <w:rFonts w:hint="default" w:ascii="Times New Roman" w:hAnsi="Times New Roman" w:cs="Times New Roman"/>
          <w:sz w:val="22"/>
          <w:szCs w:val="22"/>
        </w:rPr>
        <w:t>: Binary indicator of owning both a car and real estate. Serves as a proxy for overall asset ownership and financial stability.</w:t>
      </w:r>
    </w:p>
    <w:p w14:paraId="118315C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AVG_APARTMENTS_BUILDING</w:t>
      </w:r>
      <w:r>
        <w:rPr>
          <w:rFonts w:hint="default" w:ascii="Times New Roman" w:hAnsi="Times New Roman" w:cs="Times New Roman"/>
          <w:sz w:val="22"/>
          <w:szCs w:val="22"/>
        </w:rPr>
        <w:t>: Mean of normalised building information features (e.g., apartment size, basement area). Consolidates multiple related housing metrics into a single interpretable score.</w:t>
      </w:r>
    </w:p>
    <w:p w14:paraId="457E6E7F">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EXT_SCORES_AVG</w:t>
      </w:r>
      <w:r>
        <w:rPr>
          <w:rFonts w:hint="default" w:ascii="Times New Roman" w:hAnsi="Times New Roman" w:cs="Times New Roman"/>
          <w:sz w:val="22"/>
          <w:szCs w:val="22"/>
        </w:rPr>
        <w:t>: Average of the three external data source scores (EXT_SOURCE_1, 2, 3). Provides a robust composite external risk signal.</w:t>
      </w:r>
    </w:p>
    <w:p w14:paraId="4792E25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TOTAL_DOCS_SUBMITTED</w:t>
      </w:r>
      <w:r>
        <w:rPr>
          <w:rFonts w:hint="default" w:ascii="Times New Roman" w:hAnsi="Times New Roman" w:cs="Times New Roman"/>
          <w:sz w:val="22"/>
          <w:szCs w:val="22"/>
        </w:rPr>
        <w:t>: Sum of document submission flags (FLAG_DOCUMENT_3 to 21). Quantifies completeness of application documentation.</w:t>
      </w:r>
    </w:p>
    <w:p w14:paraId="2016F297">
      <w:pPr>
        <w:pStyle w:val="23"/>
        <w:rPr>
          <w:rFonts w:hint="default" w:ascii="Times New Roman" w:hAnsi="Times New Roman" w:cs="Times New Roman"/>
          <w:sz w:val="22"/>
          <w:szCs w:val="22"/>
        </w:rPr>
      </w:pPr>
      <w:r>
        <w:rPr>
          <w:rFonts w:hint="default" w:ascii="Times New Roman" w:hAnsi="Times New Roman" w:cs="Times New Roman"/>
          <w:sz w:val="22"/>
          <w:szCs w:val="22"/>
        </w:rPr>
        <w:t>Irrelevant or redundant columns (e.g., individual contact flags) were removed to reduce dimensionality while retaining predictive and explanatory power.</w:t>
      </w:r>
    </w:p>
    <w:p w14:paraId="61D963C9">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The processed file was saved as </w:t>
      </w:r>
      <w:r>
        <w:rPr>
          <w:rStyle w:val="48"/>
          <w:rFonts w:hint="default" w:ascii="Times New Roman" w:hAnsi="Times New Roman" w:cs="Times New Roman"/>
          <w:sz w:val="21"/>
          <w:szCs w:val="22"/>
        </w:rPr>
        <w:t>application_data.csv</w:t>
      </w:r>
      <w:r>
        <w:rPr>
          <w:rFonts w:hint="default" w:ascii="Times New Roman" w:hAnsi="Times New Roman" w:cs="Times New Roman"/>
          <w:sz w:val="22"/>
          <w:szCs w:val="22"/>
        </w:rPr>
        <w:t xml:space="preserve"> in </w:t>
      </w:r>
      <w:r>
        <w:rPr>
          <w:rStyle w:val="48"/>
          <w:rFonts w:hint="default" w:ascii="Times New Roman" w:hAnsi="Times New Roman" w:cs="Times New Roman"/>
          <w:sz w:val="21"/>
          <w:szCs w:val="22"/>
        </w:rPr>
        <w:t>data/processed/Feature-Engineered/</w:t>
      </w:r>
      <w:r>
        <w:rPr>
          <w:rFonts w:hint="default" w:ascii="Times New Roman" w:hAnsi="Times New Roman" w:cs="Times New Roman"/>
          <w:sz w:val="22"/>
          <w:szCs w:val="22"/>
        </w:rPr>
        <w:t>.</w:t>
      </w:r>
    </w:p>
    <w:bookmarkEnd w:id="14"/>
    <w:p w14:paraId="286A10DC">
      <w:pPr>
        <w:pStyle w:val="4"/>
        <w:rPr>
          <w:rFonts w:hint="default" w:ascii="Times New Roman" w:hAnsi="Times New Roman" w:cs="Times New Roman"/>
          <w:sz w:val="28"/>
          <w:szCs w:val="28"/>
        </w:rPr>
      </w:pPr>
      <w:bookmarkStart w:id="15" w:name="X2ba521ae53ca57d93f562896b3c78914f2c9957"/>
      <w:r>
        <w:rPr>
          <w:rFonts w:hint="default" w:ascii="Times New Roman" w:hAnsi="Times New Roman" w:cs="Times New Roman"/>
          <w:b/>
          <w:bCs/>
          <w:sz w:val="28"/>
          <w:szCs w:val="28"/>
        </w:rPr>
        <w:t>2. Feature Engineering on Previous Application Data</w:t>
      </w:r>
    </w:p>
    <w:p w14:paraId="3C1987AC">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Historical records from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 xml:space="preserve"> (originally &gt;1.6 million rows) were aggregated to the customer level (SK_ID_CURR), resulting in 16 derived features per applicant. Only columns with strong behavioural signals were retained prior to aggregation.</w:t>
      </w:r>
    </w:p>
    <w:p w14:paraId="2A98F1A9">
      <w:pPr>
        <w:pStyle w:val="3"/>
        <w:rPr>
          <w:rFonts w:hint="default" w:ascii="Times New Roman" w:hAnsi="Times New Roman" w:cs="Times New Roman"/>
          <w:sz w:val="22"/>
          <w:szCs w:val="22"/>
        </w:rPr>
      </w:pPr>
      <w:r>
        <w:rPr>
          <w:rFonts w:hint="default" w:ascii="Times New Roman" w:hAnsi="Times New Roman" w:cs="Times New Roman"/>
          <w:sz w:val="22"/>
          <w:szCs w:val="22"/>
        </w:rPr>
        <w:t>Key engineered features include:</w:t>
      </w:r>
    </w:p>
    <w:p w14:paraId="154A35D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PREV_TOTAL_APPS</w:t>
      </w:r>
      <w:r>
        <w:rPr>
          <w:rFonts w:hint="default" w:ascii="Times New Roman" w:hAnsi="Times New Roman" w:cs="Times New Roman"/>
          <w:sz w:val="22"/>
          <w:szCs w:val="22"/>
        </w:rPr>
        <w:t>: Total number of previous applications. Indicates application frequency and potential credit-seeking behaviour.</w:t>
      </w:r>
    </w:p>
    <w:p w14:paraId="0B0958F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PREV_APPROVED_COUNT</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PREV_APPROVAL_RATE</w:t>
      </w:r>
      <w:r>
        <w:rPr>
          <w:rFonts w:hint="default" w:ascii="Times New Roman" w:hAnsi="Times New Roman" w:cs="Times New Roman"/>
          <w:sz w:val="22"/>
          <w:szCs w:val="22"/>
        </w:rPr>
        <w:t>: Count and proportion of previously approved applications. Higher approval rates suggest consistent creditworthiness.</w:t>
      </w:r>
    </w:p>
    <w:p w14:paraId="5C1B0DE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PREV_REFUSED_COUNT</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PREV_REFUSAL_RATE</w:t>
      </w:r>
      <w:r>
        <w:rPr>
          <w:rFonts w:hint="default" w:ascii="Times New Roman" w:hAnsi="Times New Roman" w:cs="Times New Roman"/>
          <w:sz w:val="22"/>
          <w:szCs w:val="22"/>
        </w:rPr>
        <w:t>: Count and proportion of previously refused applications. Elevated refusal rates signal elevated historical risk.</w:t>
      </w:r>
    </w:p>
    <w:p w14:paraId="5B9D99A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PREV_AVG_LOAN_AMT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PREV_TOTAL_LOAN_AMT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PREV_MAX_LOAN_AMT</w:t>
      </w:r>
      <w:r>
        <w:rPr>
          <w:rFonts w:hint="default" w:ascii="Times New Roman" w:hAnsi="Times New Roman" w:cs="Times New Roman"/>
          <w:sz w:val="22"/>
          <w:szCs w:val="22"/>
        </w:rPr>
        <w:t>: Average, cumulative, and maximum credit amounts from past approved loans. Reflect historical borrowing scale and exposure.</w:t>
      </w:r>
    </w:p>
    <w:p w14:paraId="5919AD51">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PREV_AVG_OVERASK</w:t>
      </w:r>
      <w:r>
        <w:rPr>
          <w:rFonts w:hint="default" w:ascii="Times New Roman" w:hAnsi="Times New Roman" w:cs="Times New Roman"/>
          <w:sz w:val="22"/>
          <w:szCs w:val="22"/>
        </w:rPr>
        <w:t>: Average difference between requested and granted amounts (AMT_APPLICATION – AMT_CREDIT). Positive values indicate tendency to over-request, potentially reflecting optimism or financial strain.</w:t>
      </w:r>
    </w:p>
    <w:p w14:paraId="0DD3668F">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PREV_AVG_DOWNPAYMENT_PCT</w:t>
      </w:r>
      <w:r>
        <w:rPr>
          <w:rFonts w:hint="default" w:ascii="Times New Roman" w:hAnsi="Times New Roman" w:cs="Times New Roman"/>
          <w:sz w:val="22"/>
          <w:szCs w:val="22"/>
        </w:rPr>
        <w:t>: Average down payment as a percentage of granted credit. Higher values demonstrate greater upfront commitment and financial capacity.</w:t>
      </w:r>
    </w:p>
    <w:p w14:paraId="71DD3F5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PREV_MOST_RECENT_APP_YEARS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PREV_AVG_YEARS_AGO</w:t>
      </w:r>
      <w:r>
        <w:rPr>
          <w:rFonts w:hint="default" w:ascii="Times New Roman" w:hAnsi="Times New Roman" w:cs="Times New Roman"/>
          <w:sz w:val="22"/>
          <w:szCs w:val="22"/>
        </w:rPr>
        <w:t>: Years since the most recent and average previous application (derived from |DAYS_DECISION| / 365.25). Capture recency and overall activity timeline.</w:t>
      </w:r>
    </w:p>
    <w:p w14:paraId="11263203">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PREV_AVG_LOAN_TERM_MONTHS</w:t>
      </w:r>
      <w:r>
        <w:rPr>
          <w:rFonts w:hint="default" w:ascii="Times New Roman" w:hAnsi="Times New Roman" w:cs="Times New Roman"/>
          <w:sz w:val="22"/>
          <w:szCs w:val="22"/>
        </w:rPr>
        <w:t>: Average contractual loan term in months. Indicates preference for short- or long-term financing.</w:t>
      </w:r>
    </w:p>
    <w:p w14:paraId="35BB1EB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PREV_PCT_CONSUMER_LOANS</w:t>
      </w:r>
      <w:r>
        <w:rPr>
          <w:rFonts w:hint="default" w:ascii="Times New Roman" w:hAnsi="Times New Roman" w:cs="Times New Roman"/>
          <w:sz w:val="22"/>
          <w:szCs w:val="22"/>
        </w:rPr>
        <w:t>: Proportion of past loans classified as consumer loans. Distinguishes consumption-driven borrowing patterns.</w:t>
      </w:r>
    </w:p>
    <w:p w14:paraId="1F85AE6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PREV_PCT_WITH_INSURANCE</w:t>
      </w:r>
      <w:r>
        <w:rPr>
          <w:rFonts w:hint="default" w:ascii="Times New Roman" w:hAnsi="Times New Roman" w:cs="Times New Roman"/>
          <w:sz w:val="22"/>
          <w:szCs w:val="22"/>
        </w:rPr>
        <w:t>: Proportion of past loans with optional insurance taken. May reflect risk awareness or financial prudence.</w:t>
      </w:r>
    </w:p>
    <w:p w14:paraId="627CFED3">
      <w:pPr>
        <w:pStyle w:val="23"/>
        <w:rPr>
          <w:rFonts w:hint="default" w:ascii="Times New Roman" w:hAnsi="Times New Roman" w:cs="Times New Roman"/>
          <w:sz w:val="22"/>
          <w:szCs w:val="22"/>
        </w:rPr>
      </w:pPr>
      <w:r>
        <w:rPr>
          <w:rFonts w:hint="default" w:ascii="Times New Roman" w:hAnsi="Times New Roman" w:cs="Times New Roman"/>
          <w:sz w:val="22"/>
          <w:szCs w:val="22"/>
        </w:rPr>
        <w:t>Applicants with no previous applications received zero values across all features, preserving the full cohort size.</w:t>
      </w:r>
    </w:p>
    <w:p w14:paraId="0A67EC8F">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The processed file was saved as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 xml:space="preserve"> in </w:t>
      </w:r>
      <w:r>
        <w:rPr>
          <w:rStyle w:val="48"/>
          <w:rFonts w:hint="default" w:ascii="Times New Roman" w:hAnsi="Times New Roman" w:cs="Times New Roman"/>
          <w:sz w:val="21"/>
          <w:szCs w:val="22"/>
        </w:rPr>
        <w:t>data/processed/Feature-Engineered/</w:t>
      </w:r>
      <w:r>
        <w:rPr>
          <w:rFonts w:hint="default" w:ascii="Times New Roman" w:hAnsi="Times New Roman" w:cs="Times New Roman"/>
          <w:sz w:val="22"/>
          <w:szCs w:val="22"/>
        </w:rPr>
        <w:t>.</w:t>
      </w:r>
    </w:p>
    <w:bookmarkEnd w:id="15"/>
    <w:p w14:paraId="19E8E030">
      <w:pPr>
        <w:pStyle w:val="4"/>
        <w:rPr>
          <w:rFonts w:hint="default" w:ascii="Times New Roman" w:hAnsi="Times New Roman" w:cs="Times New Roman"/>
          <w:sz w:val="28"/>
          <w:szCs w:val="28"/>
        </w:rPr>
      </w:pPr>
      <w:bookmarkStart w:id="16" w:name="X5bc9e3b4c98bc6b768571fcdac6ac261e7faf66"/>
      <w:r>
        <w:rPr>
          <w:rFonts w:hint="default" w:ascii="Times New Roman" w:hAnsi="Times New Roman" w:cs="Times New Roman"/>
          <w:b/>
          <w:bCs/>
          <w:sz w:val="28"/>
          <w:szCs w:val="28"/>
        </w:rPr>
        <w:t>3. Final Dataset Assembly</w:t>
      </w:r>
    </w:p>
    <w:p w14:paraId="352743FB">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engineered application and previous-application datasets were merged on </w:t>
      </w:r>
      <w:r>
        <w:rPr>
          <w:rStyle w:val="48"/>
          <w:rFonts w:hint="default" w:ascii="Times New Roman" w:hAnsi="Times New Roman" w:cs="Times New Roman"/>
          <w:sz w:val="21"/>
          <w:szCs w:val="22"/>
        </w:rPr>
        <w:t>SK_ID_CURR</w:t>
      </w:r>
      <w:r>
        <w:rPr>
          <w:rFonts w:hint="default" w:ascii="Times New Roman" w:hAnsi="Times New Roman" w:cs="Times New Roman"/>
          <w:sz w:val="22"/>
          <w:szCs w:val="22"/>
        </w:rPr>
        <w:t xml:space="preserve"> using a left join. Remaining missing values in previous-application features were imputed with zeros (no history) and, where necessary, medians for numerical columns and modes for categorical columns.</w:t>
      </w:r>
    </w:p>
    <w:p w14:paraId="6FCC623E">
      <w:pPr>
        <w:pStyle w:val="3"/>
        <w:rPr>
          <w:rFonts w:hint="default" w:ascii="Times New Roman" w:hAnsi="Times New Roman" w:cs="Times New Roman"/>
          <w:sz w:val="22"/>
          <w:szCs w:val="22"/>
        </w:rPr>
      </w:pPr>
      <w:r>
        <w:rPr>
          <w:rFonts w:hint="default" w:ascii="Times New Roman" w:hAnsi="Times New Roman" w:cs="Times New Roman"/>
          <w:sz w:val="22"/>
          <w:szCs w:val="22"/>
        </w:rPr>
        <w:t>The final dataset comprises 307,511 rows and 68 columns, maintaining the original target distribution (default rate 8.073%) and containing no missing values.</w:t>
      </w:r>
    </w:p>
    <w:p w14:paraId="52ED023A">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The dataset was exported as </w:t>
      </w:r>
      <w:r>
        <w:rPr>
          <w:rStyle w:val="48"/>
          <w:rFonts w:hint="default" w:ascii="Times New Roman" w:hAnsi="Times New Roman" w:cs="Times New Roman"/>
          <w:sz w:val="21"/>
          <w:szCs w:val="22"/>
        </w:rPr>
        <w:t>final_dataset.csv</w:t>
      </w:r>
      <w:r>
        <w:rPr>
          <w:rFonts w:hint="default" w:ascii="Times New Roman" w:hAnsi="Times New Roman" w:cs="Times New Roman"/>
          <w:sz w:val="22"/>
          <w:szCs w:val="22"/>
        </w:rPr>
        <w:t xml:space="preserve"> in </w:t>
      </w:r>
      <w:r>
        <w:rPr>
          <w:rStyle w:val="48"/>
          <w:rFonts w:hint="default" w:ascii="Times New Roman" w:hAnsi="Times New Roman" w:cs="Times New Roman"/>
          <w:sz w:val="21"/>
          <w:szCs w:val="22"/>
        </w:rPr>
        <w:t>data/final_dataset/</w:t>
      </w:r>
      <w:r>
        <w:rPr>
          <w:rFonts w:hint="default" w:ascii="Times New Roman" w:hAnsi="Times New Roman" w:cs="Times New Roman"/>
          <w:sz w:val="22"/>
          <w:szCs w:val="22"/>
        </w:rPr>
        <w:t xml:space="preserve"> for direct use in Power BI dashboard development and presentation materials.</w:t>
      </w:r>
    </w:p>
    <w:p w14:paraId="3B742DFF">
      <w:pPr>
        <w:pStyle w:val="3"/>
        <w:rPr>
          <w:rFonts w:hint="default" w:ascii="Times New Roman" w:hAnsi="Times New Roman" w:cs="Times New Roman"/>
          <w:sz w:val="22"/>
          <w:szCs w:val="22"/>
        </w:rPr>
      </w:pPr>
      <w:r>
        <w:rPr>
          <w:rFonts w:hint="default" w:ascii="Times New Roman" w:hAnsi="Times New Roman" w:cs="Times New Roman"/>
          <w:sz w:val="22"/>
          <w:szCs w:val="22"/>
        </w:rPr>
        <w:t>This engineered dataset provides a clean, compact, and domain-aligned foundation for identifying risk patterns, segmenting borrower profiles, and constructing the required interactive risk dashboard.</w:t>
      </w:r>
    </w:p>
    <w:bookmarkEnd w:id="12"/>
    <w:bookmarkEnd w:id="16"/>
    <w:p w14:paraId="1649DFA8">
      <w:pPr>
        <w:pStyle w:val="2"/>
        <w:rPr>
          <w:rFonts w:hint="default" w:ascii="Times New Roman" w:hAnsi="Times New Roman" w:cs="Times New Roman"/>
          <w:sz w:val="36"/>
          <w:szCs w:val="36"/>
        </w:rPr>
      </w:pPr>
      <w:bookmarkStart w:id="17" w:name="X2862aac07f3fa7e9596346dd68e395f963bdec7"/>
      <w:r>
        <w:rPr>
          <w:rFonts w:hint="default" w:ascii="Times New Roman" w:hAnsi="Times New Roman" w:cs="Times New Roman"/>
          <w:b/>
          <w:bCs/>
          <w:sz w:val="36"/>
          <w:szCs w:val="36"/>
        </w:rPr>
        <w:t>Deep Analysis, Feature Validation &amp; Risk Attribution</w:t>
      </w:r>
    </w:p>
    <w:p w14:paraId="5AFF7CE9">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document presents a </w:t>
      </w:r>
      <w:r>
        <w:rPr>
          <w:rFonts w:hint="default" w:ascii="Times New Roman" w:hAnsi="Times New Roman" w:cs="Times New Roman"/>
          <w:b/>
          <w:bCs/>
          <w:sz w:val="22"/>
          <w:szCs w:val="22"/>
        </w:rPr>
        <w:t>highly detailed, deep exploratory and validation analysis</w:t>
      </w:r>
      <w:r>
        <w:rPr>
          <w:rFonts w:hint="default" w:ascii="Times New Roman" w:hAnsi="Times New Roman" w:cs="Times New Roman"/>
          <w:sz w:val="22"/>
          <w:szCs w:val="22"/>
        </w:rPr>
        <w:t xml:space="preserve"> performed on the finalized dataset. The purpose is intentionally not model optimization, but </w:t>
      </w:r>
      <w:r>
        <w:rPr>
          <w:rFonts w:hint="default" w:ascii="Times New Roman" w:hAnsi="Times New Roman" w:cs="Times New Roman"/>
          <w:b/>
          <w:bCs/>
          <w:sz w:val="22"/>
          <w:szCs w:val="22"/>
        </w:rPr>
        <w:t>deep explainability and risk understanding</w:t>
      </w:r>
      <w:r>
        <w:rPr>
          <w:rFonts w:hint="default" w:ascii="Times New Roman" w:hAnsi="Times New Roman" w:cs="Times New Roman"/>
          <w:sz w:val="22"/>
          <w:szCs w:val="22"/>
        </w:rPr>
        <w:t xml:space="preserve"> — clearly articulating </w:t>
      </w:r>
      <w:r>
        <w:rPr>
          <w:rFonts w:hint="default" w:ascii="Times New Roman" w:hAnsi="Times New Roman" w:cs="Times New Roman"/>
          <w:i/>
          <w:iCs/>
          <w:sz w:val="22"/>
          <w:szCs w:val="22"/>
        </w:rPr>
        <w:t>why</w:t>
      </w:r>
      <w:r>
        <w:rPr>
          <w:rFonts w:hint="default" w:ascii="Times New Roman" w:hAnsi="Times New Roman" w:cs="Times New Roman"/>
          <w:sz w:val="22"/>
          <w:szCs w:val="22"/>
        </w:rPr>
        <w:t xml:space="preserve"> applicants default, </w:t>
      </w:r>
      <w:r>
        <w:rPr>
          <w:rFonts w:hint="default" w:ascii="Times New Roman" w:hAnsi="Times New Roman" w:cs="Times New Roman"/>
          <w:i/>
          <w:iCs/>
          <w:sz w:val="22"/>
          <w:szCs w:val="22"/>
        </w:rPr>
        <w:t>which financial, behavioral, and demographic signals matter most</w:t>
      </w:r>
      <w:r>
        <w:rPr>
          <w:rFonts w:hint="default" w:ascii="Times New Roman" w:hAnsi="Times New Roman" w:cs="Times New Roman"/>
          <w:sz w:val="22"/>
          <w:szCs w:val="22"/>
        </w:rPr>
        <w:t xml:space="preserve">, </w:t>
      </w:r>
      <w:r>
        <w:rPr>
          <w:rFonts w:hint="default" w:ascii="Times New Roman" w:hAnsi="Times New Roman" w:cs="Times New Roman"/>
          <w:i/>
          <w:iCs/>
          <w:sz w:val="22"/>
          <w:szCs w:val="22"/>
        </w:rPr>
        <w:t>how these signals interact</w:t>
      </w:r>
      <w:r>
        <w:rPr>
          <w:rFonts w:hint="default" w:ascii="Times New Roman" w:hAnsi="Times New Roman" w:cs="Times New Roman"/>
          <w:sz w:val="22"/>
          <w:szCs w:val="22"/>
        </w:rPr>
        <w:t xml:space="preserve">, and </w:t>
      </w:r>
      <w:r>
        <w:rPr>
          <w:rFonts w:hint="default" w:ascii="Times New Roman" w:hAnsi="Times New Roman" w:cs="Times New Roman"/>
          <w:i/>
          <w:iCs/>
          <w:sz w:val="22"/>
          <w:szCs w:val="22"/>
        </w:rPr>
        <w:t>how each analytical finding directly translates into actionable credit policy and business decisions</w:t>
      </w:r>
      <w:r>
        <w:rPr>
          <w:rFonts w:hint="default" w:ascii="Times New Roman" w:hAnsi="Times New Roman" w:cs="Times New Roman"/>
          <w:sz w:val="22"/>
          <w:szCs w:val="22"/>
        </w:rPr>
        <w:t>.</w:t>
      </w:r>
    </w:p>
    <w:p w14:paraId="0A57C197">
      <w:pPr>
        <w:pStyle w:val="4"/>
        <w:rPr>
          <w:rFonts w:hint="default" w:ascii="Times New Roman" w:hAnsi="Times New Roman" w:cs="Times New Roman"/>
          <w:sz w:val="28"/>
          <w:szCs w:val="28"/>
        </w:rPr>
      </w:pPr>
      <w:bookmarkStart w:id="18" w:name="X68c22704a1fc9193ab2158a9841a1563217b3c5"/>
      <w:r>
        <w:rPr>
          <w:rFonts w:hint="default" w:ascii="Times New Roman" w:hAnsi="Times New Roman" w:cs="Times New Roman"/>
          <w:b/>
          <w:bCs/>
          <w:sz w:val="28"/>
          <w:szCs w:val="28"/>
        </w:rPr>
        <w:t>1. Final Dataset Overview</w:t>
      </w:r>
    </w:p>
    <w:p w14:paraId="56DAC440">
      <w:pPr>
        <w:pStyle w:val="23"/>
        <w:rPr>
          <w:rFonts w:hint="default" w:ascii="Times New Roman" w:hAnsi="Times New Roman" w:cs="Times New Roman"/>
          <w:sz w:val="22"/>
          <w:szCs w:val="22"/>
        </w:rPr>
      </w:pPr>
      <w:r>
        <w:rPr>
          <w:rFonts w:hint="default" w:ascii="Times New Roman" w:hAnsi="Times New Roman" w:cs="Times New Roman"/>
          <w:b/>
          <w:bCs/>
          <w:sz w:val="22"/>
          <w:szCs w:val="22"/>
        </w:rPr>
        <w:t>Dataset Location</w:t>
      </w:r>
    </w:p>
    <w:p w14:paraId="247C0110">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data/final_dataset/final_dataset.csv</w:t>
      </w:r>
    </w:p>
    <w:p w14:paraId="30BF3144">
      <w:pPr>
        <w:pStyle w:val="23"/>
        <w:rPr>
          <w:rFonts w:hint="default" w:ascii="Times New Roman" w:hAnsi="Times New Roman" w:cs="Times New Roman"/>
          <w:sz w:val="22"/>
          <w:szCs w:val="22"/>
        </w:rPr>
      </w:pPr>
      <w:r>
        <w:rPr>
          <w:rFonts w:hint="default" w:ascii="Times New Roman" w:hAnsi="Times New Roman" w:cs="Times New Roman"/>
          <w:b/>
          <w:bCs/>
          <w:sz w:val="22"/>
          <w:szCs w:val="22"/>
        </w:rPr>
        <w:t>Granularity</w:t>
      </w:r>
    </w:p>
    <w:p w14:paraId="08BA8F39">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One row represents one loan application</w:t>
      </w:r>
    </w:p>
    <w:p w14:paraId="3B2D8636">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One-to-one mapping with unique applicant ID (</w:t>
      </w:r>
      <w:r>
        <w:rPr>
          <w:rStyle w:val="48"/>
          <w:rFonts w:hint="default" w:ascii="Times New Roman" w:hAnsi="Times New Roman" w:cs="Times New Roman"/>
          <w:sz w:val="21"/>
          <w:szCs w:val="22"/>
        </w:rPr>
        <w:t>SK_ID_CURR</w:t>
      </w:r>
      <w:r>
        <w:rPr>
          <w:rFonts w:hint="default" w:ascii="Times New Roman" w:hAnsi="Times New Roman" w:cs="Times New Roman"/>
          <w:sz w:val="22"/>
          <w:szCs w:val="22"/>
        </w:rPr>
        <w:t>)</w:t>
      </w:r>
    </w:p>
    <w:p w14:paraId="4CD59C4A">
      <w:pPr>
        <w:pStyle w:val="23"/>
        <w:rPr>
          <w:rFonts w:hint="default" w:ascii="Times New Roman" w:hAnsi="Times New Roman" w:cs="Times New Roman"/>
          <w:sz w:val="22"/>
          <w:szCs w:val="22"/>
        </w:rPr>
      </w:pPr>
      <w:r>
        <w:rPr>
          <w:rFonts w:hint="default" w:ascii="Times New Roman" w:hAnsi="Times New Roman" w:cs="Times New Roman"/>
          <w:b/>
          <w:bCs/>
          <w:sz w:val="22"/>
          <w:szCs w:val="22"/>
        </w:rPr>
        <w:t>Target Variable</w:t>
      </w:r>
    </w:p>
    <w:p w14:paraId="609C78B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TARGET = 1</w:t>
      </w:r>
      <w:r>
        <w:rPr>
          <w:rFonts w:hint="default" w:ascii="Times New Roman" w:hAnsi="Times New Roman" w:cs="Times New Roman"/>
          <w:sz w:val="22"/>
          <w:szCs w:val="22"/>
        </w:rPr>
        <w:t xml:space="preserve"> → Client defaulted</w:t>
      </w:r>
    </w:p>
    <w:p w14:paraId="208C6FBF">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TARGET = 0</w:t>
      </w:r>
      <w:r>
        <w:rPr>
          <w:rFonts w:hint="default" w:ascii="Times New Roman" w:hAnsi="Times New Roman" w:cs="Times New Roman"/>
          <w:sz w:val="22"/>
          <w:szCs w:val="22"/>
        </w:rPr>
        <w:t xml:space="preserve"> → Client fully repaid or Not defaulted</w:t>
      </w:r>
    </w:p>
    <w:p w14:paraId="09F9224C">
      <w:pPr>
        <w:pStyle w:val="23"/>
        <w:rPr>
          <w:rFonts w:hint="default" w:ascii="Times New Roman" w:hAnsi="Times New Roman" w:cs="Times New Roman"/>
          <w:sz w:val="22"/>
          <w:szCs w:val="22"/>
        </w:rPr>
      </w:pPr>
      <w:r>
        <w:rPr>
          <w:rFonts w:hint="default" w:ascii="Times New Roman" w:hAnsi="Times New Roman" w:cs="Times New Roman"/>
          <w:b/>
          <w:bCs/>
          <w:sz w:val="22"/>
          <w:szCs w:val="22"/>
        </w:rPr>
        <w:t>Why this matters</w:t>
      </w:r>
      <w:r>
        <w:rPr>
          <w:rFonts w:hint="default" w:ascii="Times New Roman" w:hAnsi="Times New Roman" w:cs="Times New Roman"/>
          <w:sz w:val="22"/>
          <w:szCs w:val="22"/>
        </w:rPr>
        <w:t xml:space="preserve"> All downstream analysis, modeling, and dashboards rely on this dataset as the </w:t>
      </w:r>
      <w:r>
        <w:rPr>
          <w:rFonts w:hint="default" w:ascii="Times New Roman" w:hAnsi="Times New Roman" w:cs="Times New Roman"/>
          <w:i/>
          <w:iCs/>
          <w:sz w:val="22"/>
          <w:szCs w:val="22"/>
        </w:rPr>
        <w:t>single source of truth</w:t>
      </w:r>
      <w:r>
        <w:rPr>
          <w:rFonts w:hint="default" w:ascii="Times New Roman" w:hAnsi="Times New Roman" w:cs="Times New Roman"/>
          <w:sz w:val="22"/>
          <w:szCs w:val="22"/>
        </w:rPr>
        <w:t>. Ensuring clarity at this stage prevents data leakage and misinterpretation later.</w:t>
      </w:r>
    </w:p>
    <w:bookmarkEnd w:id="18"/>
    <w:p w14:paraId="3C9B88ED">
      <w:pPr>
        <w:pStyle w:val="4"/>
        <w:rPr>
          <w:rFonts w:hint="default" w:ascii="Times New Roman" w:hAnsi="Times New Roman" w:cs="Times New Roman"/>
          <w:sz w:val="28"/>
          <w:szCs w:val="28"/>
        </w:rPr>
      </w:pPr>
      <w:bookmarkStart w:id="19" w:name="X513fa683e72843efdc6eb7a0306370b561cf570"/>
      <w:r>
        <w:rPr>
          <w:rFonts w:hint="default" w:ascii="Times New Roman" w:hAnsi="Times New Roman" w:cs="Times New Roman"/>
          <w:b/>
          <w:bCs/>
          <w:sz w:val="28"/>
          <w:szCs w:val="28"/>
        </w:rPr>
        <w:t>2. Feature Landscape &amp; Grouping</w:t>
      </w:r>
    </w:p>
    <w:p w14:paraId="388EA360">
      <w:pPr>
        <w:pStyle w:val="23"/>
        <w:rPr>
          <w:rFonts w:hint="default" w:ascii="Times New Roman" w:hAnsi="Times New Roman" w:cs="Times New Roman"/>
          <w:sz w:val="22"/>
          <w:szCs w:val="22"/>
        </w:rPr>
      </w:pPr>
      <w:r>
        <w:rPr>
          <w:rFonts w:hint="default" w:ascii="Times New Roman" w:hAnsi="Times New Roman" w:cs="Times New Roman"/>
          <w:sz w:val="22"/>
          <w:szCs w:val="22"/>
        </w:rPr>
        <w:t>To improve interpretability and avoid analytical bias, features are logically grouped before analysis.</w:t>
      </w:r>
    </w:p>
    <w:p w14:paraId="77D3F814">
      <w:pPr>
        <w:pStyle w:val="5"/>
        <w:rPr>
          <w:rFonts w:hint="default" w:ascii="Times New Roman" w:hAnsi="Times New Roman" w:cs="Times New Roman"/>
          <w:sz w:val="24"/>
          <w:szCs w:val="24"/>
        </w:rPr>
      </w:pPr>
      <w:bookmarkStart w:id="20" w:name="Xc2a6d42b71cc9f85c2d7a3dc217def3783c0ac4"/>
      <w:r>
        <w:rPr>
          <w:rFonts w:hint="default" w:ascii="Times New Roman" w:hAnsi="Times New Roman" w:cs="Times New Roman"/>
          <w:b/>
          <w:bCs/>
          <w:sz w:val="24"/>
          <w:szCs w:val="24"/>
        </w:rPr>
        <w:t>2.1 Numerical Features</w:t>
      </w:r>
    </w:p>
    <w:p w14:paraId="125A71F8">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Numerical features represent </w:t>
      </w:r>
      <w:r>
        <w:rPr>
          <w:rFonts w:hint="default" w:ascii="Times New Roman" w:hAnsi="Times New Roman" w:cs="Times New Roman"/>
          <w:b/>
          <w:bCs/>
          <w:sz w:val="22"/>
          <w:szCs w:val="22"/>
        </w:rPr>
        <w:t>continuous risk signals</w:t>
      </w:r>
      <w:r>
        <w:rPr>
          <w:rFonts w:hint="default" w:ascii="Times New Roman" w:hAnsi="Times New Roman" w:cs="Times New Roman"/>
          <w:sz w:val="22"/>
          <w:szCs w:val="22"/>
        </w:rPr>
        <w:t xml:space="preserve"> related to affordability, stability, and credit behavior. Examples include:</w:t>
      </w:r>
    </w:p>
    <w:p w14:paraId="518CCC23">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AGE_AT_LOAN</w:t>
      </w:r>
      <w:r>
        <w:rPr>
          <w:rFonts w:hint="default" w:ascii="Times New Roman" w:hAnsi="Times New Roman" w:cs="Times New Roman"/>
          <w:sz w:val="22"/>
          <w:szCs w:val="22"/>
        </w:rPr>
        <w:t xml:space="preserve"> – borrower maturity and life-stage stability</w:t>
      </w:r>
    </w:p>
    <w:p w14:paraId="21A7B270">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CREDIT_INCOME_RATIO</w:t>
      </w:r>
      <w:r>
        <w:rPr>
          <w:rFonts w:hint="default" w:ascii="Times New Roman" w:hAnsi="Times New Roman" w:cs="Times New Roman"/>
          <w:sz w:val="22"/>
          <w:szCs w:val="22"/>
        </w:rPr>
        <w:t xml:space="preserve"> – repayment burden relative to income</w:t>
      </w:r>
    </w:p>
    <w:p w14:paraId="2079373B">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ANNUITY_INCOME_RATIO</w:t>
      </w:r>
      <w:r>
        <w:rPr>
          <w:rFonts w:hint="default" w:ascii="Times New Roman" w:hAnsi="Times New Roman" w:cs="Times New Roman"/>
          <w:sz w:val="22"/>
          <w:szCs w:val="22"/>
        </w:rPr>
        <w:t xml:space="preserve"> – monthly cash-flow stress</w:t>
      </w:r>
    </w:p>
    <w:p w14:paraId="5A743586">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EXT_SOURCE_MEAN</w:t>
      </w:r>
      <w:r>
        <w:rPr>
          <w:rFonts w:hint="default" w:ascii="Times New Roman" w:hAnsi="Times New Roman" w:cs="Times New Roman"/>
          <w:sz w:val="22"/>
          <w:szCs w:val="22"/>
        </w:rPr>
        <w:t xml:space="preserve"> – external credit bureau assessment</w:t>
      </w:r>
    </w:p>
    <w:p w14:paraId="4BD9173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PREV_REFUSAL_RATE</w:t>
      </w:r>
      <w:r>
        <w:rPr>
          <w:rFonts w:hint="default" w:ascii="Times New Roman" w:hAnsi="Times New Roman" w:cs="Times New Roman"/>
          <w:sz w:val="22"/>
          <w:szCs w:val="22"/>
        </w:rPr>
        <w:t xml:space="preserve"> – historical rejection behavior</w:t>
      </w:r>
    </w:p>
    <w:p w14:paraId="4EC8E3D4">
      <w:pPr>
        <w:pStyle w:val="23"/>
        <w:rPr>
          <w:rFonts w:hint="default" w:ascii="Times New Roman" w:hAnsi="Times New Roman" w:cs="Times New Roman"/>
          <w:sz w:val="22"/>
          <w:szCs w:val="22"/>
        </w:rPr>
      </w:pPr>
      <w:r>
        <w:rPr>
          <w:rFonts w:hint="default" w:ascii="Times New Roman" w:hAnsi="Times New Roman" w:cs="Times New Roman"/>
          <w:b/>
          <w:bCs/>
          <w:sz w:val="22"/>
          <w:szCs w:val="22"/>
        </w:rPr>
        <w:t>Analytical Focus</w:t>
      </w:r>
      <w:r>
        <w:rPr>
          <w:rFonts w:hint="default" w:ascii="Times New Roman" w:hAnsi="Times New Roman" w:cs="Times New Roman"/>
          <w:sz w:val="22"/>
          <w:szCs w:val="22"/>
        </w:rPr>
        <w:t>:</w:t>
      </w:r>
    </w:p>
    <w:p w14:paraId="4BD3EE71">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Distribution shape (skewness, concentration)</w:t>
      </w:r>
    </w:p>
    <w:p w14:paraId="23A46211">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Outlier behavior</w:t>
      </w:r>
    </w:p>
    <w:p w14:paraId="378949A2">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Relationship with default probability</w:t>
      </w:r>
    </w:p>
    <w:bookmarkEnd w:id="20"/>
    <w:p w14:paraId="713EF5E5">
      <w:pPr>
        <w:pStyle w:val="5"/>
        <w:rPr>
          <w:rFonts w:hint="default" w:ascii="Times New Roman" w:hAnsi="Times New Roman" w:cs="Times New Roman"/>
          <w:sz w:val="24"/>
          <w:szCs w:val="24"/>
        </w:rPr>
      </w:pPr>
      <w:bookmarkStart w:id="21" w:name="X1ae1502bbe1ffe32737f68ed6d7825532bc370c"/>
      <w:r>
        <w:rPr>
          <w:rFonts w:hint="default" w:ascii="Times New Roman" w:hAnsi="Times New Roman" w:cs="Times New Roman"/>
          <w:b/>
          <w:bCs/>
          <w:sz w:val="24"/>
          <w:szCs w:val="24"/>
        </w:rPr>
        <w:t>2.2 Categorical Features</w:t>
      </w:r>
    </w:p>
    <w:p w14:paraId="5357BCCB">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Categorical features capture </w:t>
      </w:r>
      <w:r>
        <w:rPr>
          <w:rFonts w:hint="default" w:ascii="Times New Roman" w:hAnsi="Times New Roman" w:cs="Times New Roman"/>
          <w:b/>
          <w:bCs/>
          <w:sz w:val="22"/>
          <w:szCs w:val="22"/>
        </w:rPr>
        <w:t>structural and demographic context</w:t>
      </w:r>
      <w:r>
        <w:rPr>
          <w:rFonts w:hint="default" w:ascii="Times New Roman" w:hAnsi="Times New Roman" w:cs="Times New Roman"/>
          <w:sz w:val="22"/>
          <w:szCs w:val="22"/>
        </w:rPr>
        <w:t>. Examples include:</w:t>
      </w:r>
    </w:p>
    <w:p w14:paraId="5A0464DE">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CODE_GENDER</w:t>
      </w:r>
    </w:p>
    <w:p w14:paraId="3D9EFC61">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NAME_CONTRACT_TYPE</w:t>
      </w:r>
    </w:p>
    <w:p w14:paraId="20940C1E">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EDU_SIMPLIFIED</w:t>
      </w:r>
    </w:p>
    <w:p w14:paraId="3DC51138">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ORGANIZATION_TYPE</w:t>
      </w:r>
    </w:p>
    <w:p w14:paraId="790E86A8">
      <w:pPr>
        <w:pStyle w:val="23"/>
        <w:rPr>
          <w:rFonts w:hint="default" w:ascii="Times New Roman" w:hAnsi="Times New Roman" w:cs="Times New Roman"/>
          <w:sz w:val="22"/>
          <w:szCs w:val="22"/>
        </w:rPr>
      </w:pPr>
      <w:r>
        <w:rPr>
          <w:rFonts w:hint="default" w:ascii="Times New Roman" w:hAnsi="Times New Roman" w:cs="Times New Roman"/>
          <w:b/>
          <w:bCs/>
          <w:sz w:val="22"/>
          <w:szCs w:val="22"/>
        </w:rPr>
        <w:t>Analytical Focus</w:t>
      </w:r>
      <w:r>
        <w:rPr>
          <w:rFonts w:hint="default" w:ascii="Times New Roman" w:hAnsi="Times New Roman" w:cs="Times New Roman"/>
          <w:sz w:val="22"/>
          <w:szCs w:val="22"/>
        </w:rPr>
        <w:t>:</w:t>
      </w:r>
    </w:p>
    <w:p w14:paraId="6808F747">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Frequency imbalance</w:t>
      </w:r>
    </w:p>
    <w:p w14:paraId="287D3743">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Category-level default concentration</w:t>
      </w:r>
    </w:p>
    <w:p w14:paraId="130B3E12">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Statistical dependency with TARGET</w:t>
      </w:r>
    </w:p>
    <w:bookmarkEnd w:id="19"/>
    <w:bookmarkEnd w:id="21"/>
    <w:p w14:paraId="49EA597D">
      <w:pPr>
        <w:pStyle w:val="4"/>
        <w:rPr>
          <w:rFonts w:hint="default" w:ascii="Times New Roman" w:hAnsi="Times New Roman" w:cs="Times New Roman"/>
          <w:sz w:val="28"/>
          <w:szCs w:val="28"/>
        </w:rPr>
      </w:pPr>
      <w:bookmarkStart w:id="22" w:name="X724ae75843e5ba5a0b73a74cbd9ea941b63ac4e"/>
      <w:r>
        <w:rPr>
          <w:rFonts w:hint="default" w:ascii="Times New Roman" w:hAnsi="Times New Roman" w:cs="Times New Roman"/>
          <w:b/>
          <w:bCs/>
          <w:sz w:val="28"/>
          <w:szCs w:val="28"/>
        </w:rPr>
        <w:t>3. Data Quality &amp; Target Structure</w:t>
      </w:r>
    </w:p>
    <w:p w14:paraId="5544CB3D">
      <w:pPr>
        <w:pStyle w:val="5"/>
        <w:rPr>
          <w:rFonts w:hint="default" w:ascii="Times New Roman" w:hAnsi="Times New Roman" w:cs="Times New Roman"/>
          <w:sz w:val="24"/>
          <w:szCs w:val="24"/>
        </w:rPr>
      </w:pPr>
      <w:bookmarkStart w:id="23" w:name="X1c13558104a04c9fd61afedfe7b5e1a62e4e9fa"/>
      <w:r>
        <w:rPr>
          <w:rFonts w:hint="default" w:ascii="Times New Roman" w:hAnsi="Times New Roman" w:cs="Times New Roman"/>
          <w:b/>
          <w:bCs/>
          <w:sz w:val="24"/>
          <w:szCs w:val="24"/>
        </w:rPr>
        <w:t>3.1 Target Distribution</w:t>
      </w:r>
    </w:p>
    <w:p w14:paraId="33EE839C">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556000"/>
            <wp:effectExtent l="0" t="0" r="0" b="0"/>
            <wp:docPr id="66" name="Picture" descr="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Target Distribution"/>
                    <pic:cNvPicPr>
                      <a:picLocks noChangeAspect="1" noChangeArrowheads="1"/>
                    </pic:cNvPicPr>
                  </pic:nvPicPr>
                  <pic:blipFill>
                    <a:blip r:embed="rId5"/>
                    <a:stretch>
                      <a:fillRect/>
                    </a:stretch>
                  </pic:blipFill>
                  <pic:spPr>
                    <a:xfrm>
                      <a:off x="0" y="0"/>
                      <a:ext cx="5334000" cy="3556000"/>
                    </a:xfrm>
                    <a:prstGeom prst="rect">
                      <a:avLst/>
                    </a:prstGeom>
                    <a:noFill/>
                    <a:ln w="9525">
                      <a:noFill/>
                    </a:ln>
                  </pic:spPr>
                </pic:pic>
              </a:graphicData>
            </a:graphic>
          </wp:inline>
        </w:drawing>
      </w:r>
    </w:p>
    <w:p w14:paraId="14F26FAA">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plot shows</w:t>
      </w:r>
      <w:r>
        <w:rPr>
          <w:rFonts w:hint="default" w:ascii="Times New Roman" w:hAnsi="Times New Roman" w:cs="Times New Roman"/>
          <w:sz w:val="22"/>
          <w:szCs w:val="22"/>
        </w:rPr>
        <w:t>:</w:t>
      </w:r>
    </w:p>
    <w:p w14:paraId="6BA28568">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A strong class imbalance with defaults forming a small minority</w:t>
      </w:r>
    </w:p>
    <w:p w14:paraId="419AEFC9">
      <w:pPr>
        <w:pStyle w:val="23"/>
        <w:rPr>
          <w:rFonts w:hint="default" w:ascii="Times New Roman" w:hAnsi="Times New Roman" w:cs="Times New Roman"/>
          <w:sz w:val="22"/>
          <w:szCs w:val="22"/>
        </w:rPr>
      </w:pPr>
      <w:r>
        <w:rPr>
          <w:rFonts w:hint="default" w:ascii="Times New Roman" w:hAnsi="Times New Roman" w:cs="Times New Roman"/>
          <w:b/>
          <w:bCs/>
          <w:sz w:val="22"/>
          <w:szCs w:val="22"/>
        </w:rPr>
        <w:t>Why this matters</w:t>
      </w:r>
      <w:r>
        <w:rPr>
          <w:rFonts w:hint="default" w:ascii="Times New Roman" w:hAnsi="Times New Roman" w:cs="Times New Roman"/>
          <w:sz w:val="22"/>
          <w:szCs w:val="22"/>
        </w:rPr>
        <w:t>:</w:t>
      </w:r>
    </w:p>
    <w:p w14:paraId="49E0CDA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Accuracy alone is misleading</w:t>
      </w:r>
    </w:p>
    <w:p w14:paraId="78EE7764">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Requires stratified sampling, ROC-AUC, and class weighting</w:t>
      </w:r>
    </w:p>
    <w:p w14:paraId="4EC0EF88">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Reflects real-world credit portfolios</w:t>
      </w:r>
    </w:p>
    <w:bookmarkEnd w:id="22"/>
    <w:bookmarkEnd w:id="23"/>
    <w:p w14:paraId="645860FB">
      <w:pPr>
        <w:pStyle w:val="4"/>
        <w:rPr>
          <w:rFonts w:hint="default" w:ascii="Times New Roman" w:hAnsi="Times New Roman" w:cs="Times New Roman"/>
          <w:sz w:val="28"/>
          <w:szCs w:val="28"/>
        </w:rPr>
      </w:pPr>
      <w:bookmarkStart w:id="24" w:name="Xeda4e73ac60d3c16f7ffcfe60d35920124741a1"/>
      <w:r>
        <w:rPr>
          <w:rFonts w:hint="default" w:ascii="Times New Roman" w:hAnsi="Times New Roman" w:cs="Times New Roman"/>
          <w:b/>
          <w:bCs/>
          <w:sz w:val="28"/>
          <w:szCs w:val="28"/>
        </w:rPr>
        <w:t>4. Univariate Analysis: Understanding Individual Signals</w:t>
      </w:r>
    </w:p>
    <w:p w14:paraId="3B9EA92A">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Univariate analysis focuses on </w:t>
      </w:r>
      <w:r>
        <w:rPr>
          <w:rFonts w:hint="default" w:ascii="Times New Roman" w:hAnsi="Times New Roman" w:cs="Times New Roman"/>
          <w:b/>
          <w:bCs/>
          <w:sz w:val="22"/>
          <w:szCs w:val="22"/>
        </w:rPr>
        <w:t>isolating each feature independently</w:t>
      </w:r>
      <w:r>
        <w:rPr>
          <w:rFonts w:hint="default" w:ascii="Times New Roman" w:hAnsi="Times New Roman" w:cs="Times New Roman"/>
          <w:sz w:val="22"/>
          <w:szCs w:val="22"/>
        </w:rPr>
        <w:t xml:space="preserve"> to understand its natural distribution, stability, and inherent risk signal </w:t>
      </w:r>
      <w:r>
        <w:rPr>
          <w:rFonts w:hint="default" w:ascii="Times New Roman" w:hAnsi="Times New Roman" w:cs="Times New Roman"/>
          <w:i/>
          <w:iCs/>
          <w:sz w:val="22"/>
          <w:szCs w:val="22"/>
        </w:rPr>
        <w:t>before</w:t>
      </w:r>
      <w:r>
        <w:rPr>
          <w:rFonts w:hint="default" w:ascii="Times New Roman" w:hAnsi="Times New Roman" w:cs="Times New Roman"/>
          <w:sz w:val="22"/>
          <w:szCs w:val="22"/>
        </w:rPr>
        <w:t xml:space="preserve"> considering interactions. This step is critical in credit risk because misleading distributions or extreme skewness can silently distort downstream models if not properly understood.</w:t>
      </w:r>
    </w:p>
    <w:p w14:paraId="2A2EF66E">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Univariate analysis helps answer: </w:t>
      </w:r>
      <w:r>
        <w:rPr>
          <w:rFonts w:hint="default" w:ascii="Times New Roman" w:hAnsi="Times New Roman" w:cs="Times New Roman"/>
          <w:i/>
          <w:iCs/>
          <w:sz w:val="22"/>
          <w:szCs w:val="22"/>
        </w:rPr>
        <w:t>What does a typical applicant look like?</w:t>
      </w:r>
    </w:p>
    <w:p w14:paraId="08C0EFC9">
      <w:pPr>
        <w:pStyle w:val="5"/>
        <w:rPr>
          <w:rFonts w:hint="default" w:ascii="Times New Roman" w:hAnsi="Times New Roman" w:cs="Times New Roman"/>
          <w:sz w:val="24"/>
          <w:szCs w:val="24"/>
        </w:rPr>
      </w:pPr>
      <w:bookmarkStart w:id="25" w:name="X074254ca88c4a531dff3dc075d5c1eae75024a3"/>
      <w:r>
        <w:rPr>
          <w:rFonts w:hint="default" w:ascii="Times New Roman" w:hAnsi="Times New Roman" w:cs="Times New Roman"/>
          <w:b/>
          <w:bCs/>
          <w:sz w:val="24"/>
          <w:szCs w:val="24"/>
        </w:rPr>
        <w:t>4.1 Numerical Feature Distributions</w:t>
      </w:r>
    </w:p>
    <w:p w14:paraId="2E7FEFD2">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Each numerical feature is analyzed using </w:t>
      </w:r>
      <w:r>
        <w:rPr>
          <w:rFonts w:hint="default" w:ascii="Times New Roman" w:hAnsi="Times New Roman" w:cs="Times New Roman"/>
          <w:b/>
          <w:bCs/>
          <w:sz w:val="22"/>
          <w:szCs w:val="22"/>
        </w:rPr>
        <w:t>two complementary visualizations</w:t>
      </w:r>
      <w:r>
        <w:rPr>
          <w:rFonts w:hint="default" w:ascii="Times New Roman" w:hAnsi="Times New Roman" w:cs="Times New Roman"/>
          <w:sz w:val="22"/>
          <w:szCs w:val="22"/>
        </w:rPr>
        <w:t xml:space="preserve"> to capture both central tendency and extreme behavior: For each numerical feature:</w:t>
      </w:r>
    </w:p>
    <w:p w14:paraId="13D683E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Histogram + KDE</w:t>
      </w:r>
      <w:r>
        <w:rPr>
          <w:rFonts w:hint="default" w:ascii="Times New Roman" w:hAnsi="Times New Roman" w:cs="Times New Roman"/>
          <w:sz w:val="22"/>
          <w:szCs w:val="22"/>
        </w:rPr>
        <w:t xml:space="preserve"> → overall distribution and skewness</w:t>
      </w:r>
    </w:p>
    <w:p w14:paraId="68CC777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Boxplot</w:t>
      </w:r>
      <w:r>
        <w:rPr>
          <w:rFonts w:hint="default" w:ascii="Times New Roman" w:hAnsi="Times New Roman" w:cs="Times New Roman"/>
          <w:sz w:val="22"/>
          <w:szCs w:val="22"/>
        </w:rPr>
        <w:t xml:space="preserve"> → outliers and variability</w:t>
      </w:r>
    </w:p>
    <w:p w14:paraId="3D2EE5AB">
      <w:pPr>
        <w:pStyle w:val="23"/>
        <w:rPr>
          <w:rFonts w:hint="default" w:ascii="Times New Roman" w:hAnsi="Times New Roman" w:cs="Times New Roman"/>
          <w:sz w:val="22"/>
          <w:szCs w:val="22"/>
        </w:rPr>
      </w:pPr>
      <w:r>
        <w:rPr>
          <w:rFonts w:hint="default" w:ascii="Times New Roman" w:hAnsi="Times New Roman" w:cs="Times New Roman"/>
          <w:b/>
          <w:bCs/>
          <w:sz w:val="22"/>
          <w:szCs w:val="22"/>
        </w:rPr>
        <w:t>Typical Observations</w:t>
      </w:r>
      <w:r>
        <w:rPr>
          <w:rFonts w:hint="default" w:ascii="Times New Roman" w:hAnsi="Times New Roman" w:cs="Times New Roman"/>
          <w:sz w:val="22"/>
          <w:szCs w:val="22"/>
        </w:rPr>
        <w:t>:</w:t>
      </w:r>
    </w:p>
    <w:p w14:paraId="012CDFC9">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Income and loan amounts are heavily right-skewed</w:t>
      </w:r>
    </w:p>
    <w:p w14:paraId="6C3CA821">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Ratio features show tighter, more informative distributions</w:t>
      </w:r>
    </w:p>
    <w:p w14:paraId="722A7F1C">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Extreme values exist but are economically plausible</w:t>
      </w:r>
    </w:p>
    <w:p w14:paraId="253A231E">
      <w:pPr>
        <w:pStyle w:val="23"/>
        <w:rPr>
          <w:rFonts w:hint="default" w:ascii="Times New Roman" w:hAnsi="Times New Roman" w:cs="Times New Roman"/>
          <w:sz w:val="22"/>
          <w:szCs w:val="22"/>
        </w:rPr>
      </w:pPr>
      <w:r>
        <w:rPr>
          <w:rFonts w:hint="default" w:ascii="Times New Roman" w:hAnsi="Times New Roman" w:cs="Times New Roman"/>
          <w:b/>
          <w:bCs/>
          <w:sz w:val="22"/>
          <w:szCs w:val="22"/>
        </w:rPr>
        <w:t>Why this matters</w:t>
      </w:r>
      <w:r>
        <w:rPr>
          <w:rFonts w:hint="default" w:ascii="Times New Roman" w:hAnsi="Times New Roman" w:cs="Times New Roman"/>
          <w:sz w:val="22"/>
          <w:szCs w:val="22"/>
        </w:rPr>
        <w:t>:</w:t>
      </w:r>
    </w:p>
    <w:p w14:paraId="52C52FA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Guides transformations (log, capping)</w:t>
      </w:r>
    </w:p>
    <w:p w14:paraId="35B6EE1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Prevents models from overfitting noise</w:t>
      </w:r>
    </w:p>
    <w:p w14:paraId="4CEE21B8">
      <w:pPr>
        <w:pStyle w:val="23"/>
        <w:rPr>
          <w:rFonts w:hint="default" w:ascii="Times New Roman" w:hAnsi="Times New Roman" w:cs="Times New Roman"/>
          <w:sz w:val="22"/>
          <w:szCs w:val="22"/>
        </w:rPr>
      </w:pPr>
      <w:r>
        <w:rPr>
          <w:rFonts w:hint="default" w:ascii="Times New Roman" w:hAnsi="Times New Roman" w:cs="Times New Roman"/>
          <w:sz w:val="22"/>
          <w:szCs w:val="22"/>
        </w:rPr>
        <w:t>Plots saved as:</w:t>
      </w:r>
    </w:p>
    <w:p w14:paraId="1F01C76D">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{feature}_histogram.png</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{feature}_boxplot.png</w:t>
      </w:r>
    </w:p>
    <w:bookmarkEnd w:id="25"/>
    <w:p w14:paraId="210F0F25">
      <w:pPr>
        <w:pStyle w:val="5"/>
        <w:rPr>
          <w:rFonts w:hint="default" w:ascii="Times New Roman" w:hAnsi="Times New Roman" w:cs="Times New Roman"/>
          <w:sz w:val="24"/>
          <w:szCs w:val="24"/>
        </w:rPr>
      </w:pPr>
      <w:bookmarkStart w:id="26" w:name="X6076e05d6dbe185006ad1c15cc6da965f0a3cf3"/>
      <w:r>
        <w:rPr>
          <w:rFonts w:hint="default" w:ascii="Times New Roman" w:hAnsi="Times New Roman" w:cs="Times New Roman"/>
          <w:b/>
          <w:bCs/>
          <w:sz w:val="24"/>
          <w:szCs w:val="24"/>
        </w:rPr>
        <w:t>4.2 Categorical Feature Distributions</w:t>
      </w:r>
    </w:p>
    <w:p w14:paraId="28F1F7A0">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489325"/>
            <wp:effectExtent l="0" t="0" r="0" b="0"/>
            <wp:docPr id="72" name="Picture" descr="Categorical Distribu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Categorical Distribution Example"/>
                    <pic:cNvPicPr>
                      <a:picLocks noChangeAspect="1" noChangeArrowheads="1"/>
                    </pic:cNvPicPr>
                  </pic:nvPicPr>
                  <pic:blipFill>
                    <a:blip r:embed="rId17"/>
                    <a:stretch>
                      <a:fillRect/>
                    </a:stretch>
                  </pic:blipFill>
                  <pic:spPr>
                    <a:xfrm>
                      <a:off x="0" y="0"/>
                      <a:ext cx="5334000" cy="3489809"/>
                    </a:xfrm>
                    <a:prstGeom prst="rect">
                      <a:avLst/>
                    </a:prstGeom>
                    <a:noFill/>
                    <a:ln w="9525">
                      <a:noFill/>
                    </a:ln>
                  </pic:spPr>
                </pic:pic>
              </a:graphicData>
            </a:graphic>
          </wp:inline>
        </w:drawing>
      </w:r>
    </w:p>
    <w:p w14:paraId="01893929">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plot shows</w:t>
      </w:r>
      <w:r>
        <w:rPr>
          <w:rFonts w:hint="default" w:ascii="Times New Roman" w:hAnsi="Times New Roman" w:cs="Times New Roman"/>
          <w:sz w:val="22"/>
          <w:szCs w:val="22"/>
        </w:rPr>
        <w:t>:</w:t>
      </w:r>
    </w:p>
    <w:p w14:paraId="77B82703">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Relative frequency of each category</w:t>
      </w:r>
    </w:p>
    <w:p w14:paraId="38712BAA">
      <w:pPr>
        <w:pStyle w:val="23"/>
        <w:rPr>
          <w:rFonts w:hint="default" w:ascii="Times New Roman" w:hAnsi="Times New Roman" w:cs="Times New Roman"/>
          <w:sz w:val="22"/>
          <w:szCs w:val="22"/>
        </w:rPr>
      </w:pPr>
      <w:r>
        <w:rPr>
          <w:rFonts w:hint="default" w:ascii="Times New Roman" w:hAnsi="Times New Roman" w:cs="Times New Roman"/>
          <w:b/>
          <w:bCs/>
          <w:sz w:val="22"/>
          <w:szCs w:val="22"/>
        </w:rPr>
        <w:t>Key Insight</w:t>
      </w:r>
      <w:r>
        <w:rPr>
          <w:rFonts w:hint="default" w:ascii="Times New Roman" w:hAnsi="Times New Roman" w:cs="Times New Roman"/>
          <w:sz w:val="22"/>
          <w:szCs w:val="22"/>
        </w:rPr>
        <w:t>:</w:t>
      </w:r>
    </w:p>
    <w:p w14:paraId="388AF33E">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Some categories dominate volume but not necessarily risk</w:t>
      </w:r>
    </w:p>
    <w:p w14:paraId="63B21D32">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Rare categories can carry disproportionate default rates</w:t>
      </w:r>
    </w:p>
    <w:p w14:paraId="7292122C">
      <w:pPr>
        <w:pStyle w:val="23"/>
        <w:rPr>
          <w:rFonts w:hint="default" w:ascii="Times New Roman" w:hAnsi="Times New Roman" w:cs="Times New Roman"/>
          <w:sz w:val="22"/>
          <w:szCs w:val="22"/>
        </w:rPr>
      </w:pPr>
      <w:r>
        <w:rPr>
          <w:rFonts w:hint="default" w:ascii="Times New Roman" w:hAnsi="Times New Roman" w:cs="Times New Roman"/>
          <w:b/>
          <w:bCs/>
          <w:sz w:val="22"/>
          <w:szCs w:val="22"/>
        </w:rPr>
        <w:t>Business Relevance</w:t>
      </w:r>
      <w:r>
        <w:rPr>
          <w:rFonts w:hint="default" w:ascii="Times New Roman" w:hAnsi="Times New Roman" w:cs="Times New Roman"/>
          <w:sz w:val="22"/>
          <w:szCs w:val="22"/>
        </w:rPr>
        <w:t>: Volume ≠ Risk. Credit decisions must consider both.</w:t>
      </w:r>
    </w:p>
    <w:bookmarkEnd w:id="24"/>
    <w:bookmarkEnd w:id="26"/>
    <w:p w14:paraId="418956E4">
      <w:pPr>
        <w:pStyle w:val="4"/>
        <w:rPr>
          <w:rFonts w:hint="default" w:ascii="Times New Roman" w:hAnsi="Times New Roman" w:cs="Times New Roman"/>
          <w:sz w:val="28"/>
          <w:szCs w:val="28"/>
        </w:rPr>
      </w:pPr>
      <w:bookmarkStart w:id="27" w:name="Xb3b63d91de75797e1c5c92672230f5f50042270"/>
      <w:r>
        <w:rPr>
          <w:rFonts w:hint="default" w:ascii="Times New Roman" w:hAnsi="Times New Roman" w:cs="Times New Roman"/>
          <w:b/>
          <w:bCs/>
          <w:sz w:val="28"/>
          <w:szCs w:val="28"/>
        </w:rPr>
        <w:t>5. Bivariate Analysis: Features vs Default</w:t>
      </w:r>
    </w:p>
    <w:p w14:paraId="39CF61F7">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section explains </w:t>
      </w:r>
      <w:r>
        <w:rPr>
          <w:rFonts w:hint="default" w:ascii="Times New Roman" w:hAnsi="Times New Roman" w:cs="Times New Roman"/>
          <w:i/>
          <w:iCs/>
          <w:sz w:val="22"/>
          <w:szCs w:val="22"/>
        </w:rPr>
        <w:t>how each feature behaves differently for defaulters vs non-defaulters</w:t>
      </w:r>
      <w:r>
        <w:rPr>
          <w:rFonts w:hint="default" w:ascii="Times New Roman" w:hAnsi="Times New Roman" w:cs="Times New Roman"/>
          <w:sz w:val="22"/>
          <w:szCs w:val="22"/>
        </w:rPr>
        <w:t>.</w:t>
      </w:r>
    </w:p>
    <w:p w14:paraId="166C0DDB">
      <w:pPr>
        <w:pStyle w:val="5"/>
        <w:rPr>
          <w:rFonts w:hint="default" w:ascii="Times New Roman" w:hAnsi="Times New Roman" w:cs="Times New Roman"/>
          <w:sz w:val="24"/>
          <w:szCs w:val="24"/>
        </w:rPr>
      </w:pPr>
      <w:bookmarkStart w:id="28" w:name="X8753f1d225065eaa8ad5a051f1f9d8a90ca80f9"/>
      <w:r>
        <w:rPr>
          <w:rFonts w:hint="default" w:ascii="Times New Roman" w:hAnsi="Times New Roman" w:cs="Times New Roman"/>
          <w:b/>
          <w:bCs/>
          <w:sz w:val="24"/>
          <w:szCs w:val="24"/>
        </w:rPr>
        <w:t>5.1 Numerical Features vs TARGET</w:t>
      </w:r>
    </w:p>
    <w:p w14:paraId="3FB3C7C0">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analysis compares how numerical feature values differ </w:t>
      </w:r>
      <w:r>
        <w:rPr>
          <w:rFonts w:hint="default" w:ascii="Times New Roman" w:hAnsi="Times New Roman" w:cs="Times New Roman"/>
          <w:b/>
          <w:bCs/>
          <w:sz w:val="22"/>
          <w:szCs w:val="22"/>
        </w:rPr>
        <w:t>between defaulters and non-defaulters</w:t>
      </w:r>
      <w:r>
        <w:rPr>
          <w:rFonts w:hint="default" w:ascii="Times New Roman" w:hAnsi="Times New Roman" w:cs="Times New Roman"/>
          <w:sz w:val="22"/>
          <w:szCs w:val="22"/>
        </w:rPr>
        <w:t>, helping determine whether a variable merely describes customers or truly differentiates risk outcomes.</w:t>
      </w:r>
    </w:p>
    <w:p w14:paraId="1939B968">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435350"/>
            <wp:effectExtent l="0" t="0" r="0" b="0"/>
            <wp:docPr id="77" name="Picture" descr="Age v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Age vs Target"/>
                    <pic:cNvPicPr>
                      <a:picLocks noChangeAspect="1" noChangeArrowheads="1"/>
                    </pic:cNvPicPr>
                  </pic:nvPicPr>
                  <pic:blipFill>
                    <a:blip r:embed="rId18"/>
                    <a:stretch>
                      <a:fillRect/>
                    </a:stretch>
                  </pic:blipFill>
                  <pic:spPr>
                    <a:xfrm>
                      <a:off x="0" y="0"/>
                      <a:ext cx="5334000" cy="3435387"/>
                    </a:xfrm>
                    <a:prstGeom prst="rect">
                      <a:avLst/>
                    </a:prstGeom>
                    <a:noFill/>
                    <a:ln w="9525">
                      <a:noFill/>
                    </a:ln>
                  </pic:spPr>
                </pic:pic>
              </a:graphicData>
            </a:graphic>
          </wp:inline>
        </w:drawing>
      </w:r>
    </w:p>
    <w:p w14:paraId="55671567">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plot shows</w:t>
      </w:r>
      <w:r>
        <w:rPr>
          <w:rFonts w:hint="default" w:ascii="Times New Roman" w:hAnsi="Times New Roman" w:cs="Times New Roman"/>
          <w:sz w:val="22"/>
          <w:szCs w:val="22"/>
        </w:rPr>
        <w:t>:</w:t>
      </w:r>
    </w:p>
    <w:p w14:paraId="7FDAE792">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Distribution of borrower age across default outcomes</w:t>
      </w:r>
    </w:p>
    <w:p w14:paraId="75500B78">
      <w:pPr>
        <w:pStyle w:val="23"/>
        <w:rPr>
          <w:rFonts w:hint="default" w:ascii="Times New Roman" w:hAnsi="Times New Roman" w:cs="Times New Roman"/>
          <w:sz w:val="22"/>
          <w:szCs w:val="22"/>
        </w:rPr>
      </w:pPr>
      <w:r>
        <w:rPr>
          <w:rFonts w:hint="default" w:ascii="Times New Roman" w:hAnsi="Times New Roman" w:cs="Times New Roman"/>
          <w:b/>
          <w:bCs/>
          <w:sz w:val="22"/>
          <w:szCs w:val="22"/>
        </w:rPr>
        <w:t>Insight</w:t>
      </w:r>
      <w:r>
        <w:rPr>
          <w:rFonts w:hint="default" w:ascii="Times New Roman" w:hAnsi="Times New Roman" w:cs="Times New Roman"/>
          <w:sz w:val="22"/>
          <w:szCs w:val="22"/>
        </w:rPr>
        <w:t>:</w:t>
      </w:r>
    </w:p>
    <w:p w14:paraId="31D295AB">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Younger applicants show higher default concentration</w:t>
      </w:r>
    </w:p>
    <w:p w14:paraId="7FC6DD25">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Risk decreases with age up to a stability plateau</w:t>
      </w:r>
    </w:p>
    <w:p w14:paraId="5EACCC6E">
      <w:pPr>
        <w:pStyle w:val="23"/>
        <w:rPr>
          <w:rFonts w:hint="default" w:ascii="Times New Roman" w:hAnsi="Times New Roman" w:cs="Times New Roman"/>
          <w:sz w:val="22"/>
          <w:szCs w:val="22"/>
        </w:rPr>
      </w:pPr>
      <w:r>
        <w:rPr>
          <w:rFonts w:hint="default" w:ascii="Times New Roman" w:hAnsi="Times New Roman" w:cs="Times New Roman"/>
          <w:b/>
          <w:bCs/>
          <w:sz w:val="22"/>
          <w:szCs w:val="22"/>
        </w:rPr>
        <w:t>Business Interpretation</w:t>
      </w:r>
      <w:r>
        <w:rPr>
          <w:rFonts w:hint="default" w:ascii="Times New Roman" w:hAnsi="Times New Roman" w:cs="Times New Roman"/>
          <w:sz w:val="22"/>
          <w:szCs w:val="22"/>
        </w:rPr>
        <w:t>: Age acts as a proxy for income stability and credit maturity.</w:t>
      </w:r>
    </w:p>
    <w:bookmarkEnd w:id="28"/>
    <w:p w14:paraId="20E833DD">
      <w:pPr>
        <w:pStyle w:val="5"/>
        <w:rPr>
          <w:rFonts w:hint="default" w:ascii="Times New Roman" w:hAnsi="Times New Roman" w:cs="Times New Roman"/>
          <w:sz w:val="24"/>
          <w:szCs w:val="24"/>
        </w:rPr>
      </w:pPr>
      <w:bookmarkStart w:id="29" w:name="X13b063561b723bf2b05c9313134cd35b0af00c9"/>
      <w:r>
        <w:rPr>
          <w:rFonts w:hint="default" w:ascii="Times New Roman" w:hAnsi="Times New Roman" w:cs="Times New Roman"/>
          <w:b/>
          <w:bCs/>
          <w:sz w:val="24"/>
          <w:szCs w:val="24"/>
        </w:rPr>
        <w:t>5.2 Categorical Features vs TARGET</w:t>
      </w:r>
    </w:p>
    <w:p w14:paraId="052DA6ED">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628390"/>
            <wp:effectExtent l="0" t="0" r="0" b="0"/>
            <wp:docPr id="81" name="Picture" descr="Education vs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Education vs Target"/>
                    <pic:cNvPicPr>
                      <a:picLocks noChangeAspect="1" noChangeArrowheads="1"/>
                    </pic:cNvPicPr>
                  </pic:nvPicPr>
                  <pic:blipFill>
                    <a:blip r:embed="rId19"/>
                    <a:stretch>
                      <a:fillRect/>
                    </a:stretch>
                  </pic:blipFill>
                  <pic:spPr>
                    <a:xfrm>
                      <a:off x="0" y="0"/>
                      <a:ext cx="5334000" cy="3628736"/>
                    </a:xfrm>
                    <a:prstGeom prst="rect">
                      <a:avLst/>
                    </a:prstGeom>
                    <a:noFill/>
                    <a:ln w="9525">
                      <a:noFill/>
                    </a:ln>
                  </pic:spPr>
                </pic:pic>
              </a:graphicData>
            </a:graphic>
          </wp:inline>
        </w:drawing>
      </w:r>
    </w:p>
    <w:p w14:paraId="5306B0C0">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plot shows</w:t>
      </w:r>
      <w:r>
        <w:rPr>
          <w:rFonts w:hint="default" w:ascii="Times New Roman" w:hAnsi="Times New Roman" w:cs="Times New Roman"/>
          <w:sz w:val="22"/>
          <w:szCs w:val="22"/>
        </w:rPr>
        <w:t>:</w:t>
      </w:r>
    </w:p>
    <w:p w14:paraId="6E06D5D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Default proportion within each education category</w:t>
      </w:r>
    </w:p>
    <w:p w14:paraId="1D6BEC90">
      <w:pPr>
        <w:pStyle w:val="23"/>
        <w:rPr>
          <w:rFonts w:hint="default" w:ascii="Times New Roman" w:hAnsi="Times New Roman" w:cs="Times New Roman"/>
          <w:sz w:val="22"/>
          <w:szCs w:val="22"/>
        </w:rPr>
      </w:pPr>
      <w:r>
        <w:rPr>
          <w:rFonts w:hint="default" w:ascii="Times New Roman" w:hAnsi="Times New Roman" w:cs="Times New Roman"/>
          <w:b/>
          <w:bCs/>
          <w:sz w:val="22"/>
          <w:szCs w:val="22"/>
        </w:rPr>
        <w:t>Statistical Validation</w:t>
      </w:r>
      <w:r>
        <w:rPr>
          <w:rFonts w:hint="default" w:ascii="Times New Roman" w:hAnsi="Times New Roman" w:cs="Times New Roman"/>
          <w:sz w:val="22"/>
          <w:szCs w:val="22"/>
        </w:rPr>
        <w:t>:</w:t>
      </w:r>
    </w:p>
    <w:p w14:paraId="690FC531">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Chi-square tests confirm dependency</w:t>
      </w:r>
    </w:p>
    <w:p w14:paraId="4A8E0FC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Observed differences are statistically meaningful</w:t>
      </w:r>
    </w:p>
    <w:p w14:paraId="201B79FA">
      <w:pPr>
        <w:pStyle w:val="23"/>
        <w:rPr>
          <w:rFonts w:hint="default" w:ascii="Times New Roman" w:hAnsi="Times New Roman" w:cs="Times New Roman"/>
          <w:sz w:val="22"/>
          <w:szCs w:val="22"/>
        </w:rPr>
      </w:pPr>
      <w:r>
        <w:rPr>
          <w:rFonts w:hint="default" w:ascii="Times New Roman" w:hAnsi="Times New Roman" w:cs="Times New Roman"/>
          <w:b/>
          <w:bCs/>
          <w:sz w:val="22"/>
          <w:szCs w:val="22"/>
        </w:rPr>
        <w:t>Business Interpretation</w:t>
      </w:r>
      <w:r>
        <w:rPr>
          <w:rFonts w:hint="default" w:ascii="Times New Roman" w:hAnsi="Times New Roman" w:cs="Times New Roman"/>
          <w:sz w:val="22"/>
          <w:szCs w:val="22"/>
        </w:rPr>
        <w:t>: Education level indirectly reflects earning stability and employment quality.</w:t>
      </w:r>
    </w:p>
    <w:bookmarkEnd w:id="27"/>
    <w:bookmarkEnd w:id="29"/>
    <w:p w14:paraId="4EE33D05">
      <w:pPr>
        <w:pStyle w:val="4"/>
        <w:rPr>
          <w:rFonts w:hint="default" w:ascii="Times New Roman" w:hAnsi="Times New Roman" w:cs="Times New Roman"/>
          <w:sz w:val="28"/>
          <w:szCs w:val="28"/>
        </w:rPr>
      </w:pPr>
      <w:bookmarkStart w:id="30" w:name="X80e6ef33f56e541d30c715b3ff3023d519e40e4"/>
      <w:r>
        <w:rPr>
          <w:rFonts w:hint="default" w:ascii="Times New Roman" w:hAnsi="Times New Roman" w:cs="Times New Roman"/>
          <w:b/>
          <w:bCs/>
          <w:sz w:val="28"/>
          <w:szCs w:val="28"/>
        </w:rPr>
        <w:t>6. Correlation Analysis</w:t>
      </w:r>
    </w:p>
    <w:p w14:paraId="36056CE5">
      <w:pPr>
        <w:pStyle w:val="5"/>
        <w:rPr>
          <w:rFonts w:hint="default" w:ascii="Times New Roman" w:hAnsi="Times New Roman" w:cs="Times New Roman"/>
          <w:sz w:val="24"/>
          <w:szCs w:val="24"/>
        </w:rPr>
      </w:pPr>
      <w:bookmarkStart w:id="31" w:name="Xcd6096d6a0b9fa458e094219c79c64467d98dcc"/>
      <w:r>
        <w:rPr>
          <w:rFonts w:hint="default" w:ascii="Times New Roman" w:hAnsi="Times New Roman" w:cs="Times New Roman"/>
          <w:b/>
          <w:bCs/>
          <w:sz w:val="24"/>
          <w:szCs w:val="24"/>
        </w:rPr>
        <w:t>6.1 Full Correlation Heatmap</w:t>
      </w:r>
    </w:p>
    <w:p w14:paraId="310EC5CE">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Correlation analysis is used here </w:t>
      </w:r>
      <w:r>
        <w:rPr>
          <w:rFonts w:hint="default" w:ascii="Times New Roman" w:hAnsi="Times New Roman" w:cs="Times New Roman"/>
          <w:b/>
          <w:bCs/>
          <w:sz w:val="22"/>
          <w:szCs w:val="22"/>
        </w:rPr>
        <w:t>strictly as a diagnostic tool</w:t>
      </w:r>
      <w:r>
        <w:rPr>
          <w:rFonts w:hint="default" w:ascii="Times New Roman" w:hAnsi="Times New Roman" w:cs="Times New Roman"/>
          <w:sz w:val="22"/>
          <w:szCs w:val="22"/>
        </w:rPr>
        <w:t>, not as a feature selection mechanism. In credit risk, strong linear correlations are rare; therefore, weak correlations do not imply irrelevance.</w:t>
      </w:r>
    </w:p>
    <w:p w14:paraId="3B167377">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4583430"/>
            <wp:effectExtent l="0" t="0" r="0" b="0"/>
            <wp:docPr id="86" name="Picture" descr="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Correlation Heatmap"/>
                    <pic:cNvPicPr>
                      <a:picLocks noChangeAspect="1" noChangeArrowheads="1"/>
                    </pic:cNvPicPr>
                  </pic:nvPicPr>
                  <pic:blipFill>
                    <a:blip r:embed="rId20"/>
                    <a:stretch>
                      <a:fillRect/>
                    </a:stretch>
                  </pic:blipFill>
                  <pic:spPr>
                    <a:xfrm>
                      <a:off x="0" y="0"/>
                      <a:ext cx="5334000" cy="4583471"/>
                    </a:xfrm>
                    <a:prstGeom prst="rect">
                      <a:avLst/>
                    </a:prstGeom>
                    <a:noFill/>
                    <a:ln w="9525">
                      <a:noFill/>
                    </a:ln>
                  </pic:spPr>
                </pic:pic>
              </a:graphicData>
            </a:graphic>
          </wp:inline>
        </w:drawing>
      </w:r>
    </w:p>
    <w:p w14:paraId="3A54D587">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shows</w:t>
      </w:r>
      <w:r>
        <w:rPr>
          <w:rFonts w:hint="default" w:ascii="Times New Roman" w:hAnsi="Times New Roman" w:cs="Times New Roman"/>
          <w:sz w:val="22"/>
          <w:szCs w:val="22"/>
        </w:rPr>
        <w:t>:</w:t>
      </w:r>
    </w:p>
    <w:p w14:paraId="2A6BB225">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Linear relationships between all numerical variables</w:t>
      </w:r>
    </w:p>
    <w:p w14:paraId="53394840">
      <w:pPr>
        <w:pStyle w:val="23"/>
        <w:rPr>
          <w:rFonts w:hint="default" w:ascii="Times New Roman" w:hAnsi="Times New Roman" w:cs="Times New Roman"/>
          <w:sz w:val="22"/>
          <w:szCs w:val="22"/>
        </w:rPr>
      </w:pPr>
      <w:r>
        <w:rPr>
          <w:rFonts w:hint="default" w:ascii="Times New Roman" w:hAnsi="Times New Roman" w:cs="Times New Roman"/>
          <w:b/>
          <w:bCs/>
          <w:sz w:val="22"/>
          <w:szCs w:val="22"/>
        </w:rPr>
        <w:t>Key Observation</w:t>
      </w:r>
      <w:r>
        <w:rPr>
          <w:rFonts w:hint="default" w:ascii="Times New Roman" w:hAnsi="Times New Roman" w:cs="Times New Roman"/>
          <w:sz w:val="22"/>
          <w:szCs w:val="22"/>
        </w:rPr>
        <w:t>:</w:t>
      </w:r>
    </w:p>
    <w:p w14:paraId="4AC6998D">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Weak linear correlations are expected in credit risk</w:t>
      </w:r>
    </w:p>
    <w:p w14:paraId="5FEAEA06">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Risk is driven by </w:t>
      </w:r>
      <w:r>
        <w:rPr>
          <w:rFonts w:hint="default" w:ascii="Times New Roman" w:hAnsi="Times New Roman" w:cs="Times New Roman"/>
          <w:b/>
          <w:bCs/>
          <w:sz w:val="22"/>
          <w:szCs w:val="22"/>
        </w:rPr>
        <w:t>non-linear interactions</w:t>
      </w:r>
    </w:p>
    <w:bookmarkEnd w:id="31"/>
    <w:p w14:paraId="60A6F8D6">
      <w:pPr>
        <w:pStyle w:val="5"/>
        <w:rPr>
          <w:rFonts w:hint="default" w:ascii="Times New Roman" w:hAnsi="Times New Roman" w:cs="Times New Roman"/>
          <w:sz w:val="24"/>
          <w:szCs w:val="24"/>
        </w:rPr>
      </w:pPr>
      <w:bookmarkStart w:id="32" w:name="X5da9772b3fd79968e9a53b49da30ccd2db5d99e"/>
      <w:r>
        <w:rPr>
          <w:rFonts w:hint="default" w:ascii="Times New Roman" w:hAnsi="Times New Roman" w:cs="Times New Roman"/>
          <w:b/>
          <w:bCs/>
          <w:sz w:val="24"/>
          <w:szCs w:val="24"/>
        </w:rPr>
        <w:t>6.2 Correlation with TARGET</w:t>
      </w:r>
    </w:p>
    <w:p w14:paraId="2A0B1B14">
      <w:pPr>
        <w:pStyle w:val="23"/>
        <w:rPr>
          <w:rFonts w:hint="default" w:ascii="Times New Roman" w:hAnsi="Times New Roman" w:cs="Times New Roman"/>
          <w:sz w:val="22"/>
          <w:szCs w:val="22"/>
        </w:rPr>
      </w:pPr>
      <w:r>
        <w:rPr>
          <w:rFonts w:hint="default" w:ascii="Times New Roman" w:hAnsi="Times New Roman" w:cs="Times New Roman"/>
          <w:b/>
          <w:bCs/>
          <w:sz w:val="22"/>
          <w:szCs w:val="22"/>
        </w:rPr>
        <w:t>Risk-Increasing Signals</w:t>
      </w:r>
      <w:r>
        <w:rPr>
          <w:rFonts w:hint="default" w:ascii="Times New Roman" w:hAnsi="Times New Roman" w:cs="Times New Roman"/>
          <w:sz w:val="22"/>
          <w:szCs w:val="22"/>
        </w:rPr>
        <w:t>:</w:t>
      </w:r>
    </w:p>
    <w:p w14:paraId="49746E6A">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PREV_REFUSAL_RATE</w:t>
      </w:r>
    </w:p>
    <w:p w14:paraId="385F6BE1">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CREDIT_GOODS_RATIO</w:t>
      </w:r>
    </w:p>
    <w:p w14:paraId="25FCC433">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AGE_AT_LOAN</w:t>
      </w:r>
    </w:p>
    <w:p w14:paraId="204684F0">
      <w:pPr>
        <w:pStyle w:val="23"/>
        <w:rPr>
          <w:rFonts w:hint="default" w:ascii="Times New Roman" w:hAnsi="Times New Roman" w:cs="Times New Roman"/>
          <w:sz w:val="22"/>
          <w:szCs w:val="22"/>
        </w:rPr>
      </w:pPr>
      <w:r>
        <w:rPr>
          <w:rFonts w:hint="default" w:ascii="Times New Roman" w:hAnsi="Times New Roman" w:cs="Times New Roman"/>
          <w:b/>
          <w:bCs/>
          <w:sz w:val="22"/>
          <w:szCs w:val="22"/>
        </w:rPr>
        <w:t>Protective Signals</w:t>
      </w:r>
      <w:r>
        <w:rPr>
          <w:rFonts w:hint="default" w:ascii="Times New Roman" w:hAnsi="Times New Roman" w:cs="Times New Roman"/>
          <w:sz w:val="22"/>
          <w:szCs w:val="22"/>
        </w:rPr>
        <w:t>:</w:t>
      </w:r>
    </w:p>
    <w:p w14:paraId="6A4D073B">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External credit scores</w:t>
      </w:r>
    </w:p>
    <w:p w14:paraId="0656D7BC">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Income-normalized ratios</w:t>
      </w:r>
    </w:p>
    <w:bookmarkEnd w:id="32"/>
    <w:p w14:paraId="07947336">
      <w:pPr>
        <w:pStyle w:val="5"/>
        <w:rPr>
          <w:rFonts w:hint="default" w:ascii="Times New Roman" w:hAnsi="Times New Roman" w:cs="Times New Roman"/>
          <w:sz w:val="24"/>
          <w:szCs w:val="24"/>
        </w:rPr>
      </w:pPr>
      <w:bookmarkStart w:id="33" w:name="X45c043a5f73a1c448a5b93b15ffc7831a834d9b"/>
      <w:r>
        <w:rPr>
          <w:rFonts w:hint="default" w:ascii="Times New Roman" w:hAnsi="Times New Roman" w:cs="Times New Roman"/>
          <w:b/>
          <w:bCs/>
          <w:sz w:val="24"/>
          <w:szCs w:val="24"/>
        </w:rPr>
        <w:t>6.3 Focused Correlation Heatmap</w:t>
      </w:r>
    </w:p>
    <w:p w14:paraId="1D84C1B4">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4948555"/>
            <wp:effectExtent l="0" t="0" r="0" b="0"/>
            <wp:docPr id="91" name="Picture" descr="Focused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Focused Correlation Heatmap"/>
                    <pic:cNvPicPr>
                      <a:picLocks noChangeAspect="1" noChangeArrowheads="1"/>
                    </pic:cNvPicPr>
                  </pic:nvPicPr>
                  <pic:blipFill>
                    <a:blip r:embed="rId21"/>
                    <a:stretch>
                      <a:fillRect/>
                    </a:stretch>
                  </pic:blipFill>
                  <pic:spPr>
                    <a:xfrm>
                      <a:off x="0" y="0"/>
                      <a:ext cx="5334000" cy="4948828"/>
                    </a:xfrm>
                    <a:prstGeom prst="rect">
                      <a:avLst/>
                    </a:prstGeom>
                    <a:noFill/>
                    <a:ln w="9525">
                      <a:noFill/>
                    </a:ln>
                  </pic:spPr>
                </pic:pic>
              </a:graphicData>
            </a:graphic>
          </wp:inline>
        </w:drawing>
      </w:r>
    </w:p>
    <w:p w14:paraId="1D799DFC">
      <w:pPr>
        <w:pStyle w:val="3"/>
        <w:rPr>
          <w:rFonts w:hint="default" w:ascii="Times New Roman" w:hAnsi="Times New Roman" w:cs="Times New Roman"/>
          <w:sz w:val="22"/>
          <w:szCs w:val="22"/>
        </w:rPr>
      </w:pPr>
      <w:r>
        <w:rPr>
          <w:rFonts w:hint="default" w:ascii="Times New Roman" w:hAnsi="Times New Roman" w:cs="Times New Roman"/>
          <w:b/>
          <w:bCs/>
          <w:sz w:val="22"/>
          <w:szCs w:val="22"/>
        </w:rPr>
        <w:t>Insight</w:t>
      </w:r>
      <w:r>
        <w:rPr>
          <w:rFonts w:hint="default" w:ascii="Times New Roman" w:hAnsi="Times New Roman" w:cs="Times New Roman"/>
          <w:sz w:val="22"/>
          <w:szCs w:val="22"/>
        </w:rPr>
        <w:t>: Only a limited subset shows linear signal — engineered features matter most.</w:t>
      </w:r>
    </w:p>
    <w:bookmarkEnd w:id="30"/>
    <w:bookmarkEnd w:id="33"/>
    <w:p w14:paraId="55EF27DF">
      <w:pPr>
        <w:pStyle w:val="4"/>
        <w:rPr>
          <w:rFonts w:hint="default" w:ascii="Times New Roman" w:hAnsi="Times New Roman" w:cs="Times New Roman"/>
          <w:sz w:val="28"/>
          <w:szCs w:val="28"/>
        </w:rPr>
      </w:pPr>
      <w:bookmarkStart w:id="34" w:name="X6e1e08132a8de909662494fff9d54a14081c613"/>
      <w:r>
        <w:rPr>
          <w:rFonts w:hint="default" w:ascii="Times New Roman" w:hAnsi="Times New Roman" w:cs="Times New Roman"/>
          <w:b/>
          <w:bCs/>
          <w:sz w:val="28"/>
          <w:szCs w:val="28"/>
        </w:rPr>
        <w:t>7. Multivariate Analysis</w:t>
      </w:r>
    </w:p>
    <w:p w14:paraId="10ABB92F">
      <w:pPr>
        <w:pStyle w:val="5"/>
        <w:rPr>
          <w:rFonts w:hint="default" w:ascii="Times New Roman" w:hAnsi="Times New Roman" w:cs="Times New Roman"/>
          <w:sz w:val="24"/>
          <w:szCs w:val="24"/>
        </w:rPr>
      </w:pPr>
      <w:bookmarkStart w:id="35" w:name="X1617f8bc43f6cb73b513254dff336c496a2c9d3"/>
      <w:r>
        <w:rPr>
          <w:rFonts w:hint="default" w:ascii="Times New Roman" w:hAnsi="Times New Roman" w:cs="Times New Roman"/>
          <w:b/>
          <w:bCs/>
          <w:sz w:val="24"/>
          <w:szCs w:val="24"/>
        </w:rPr>
        <w:t>7.1 Average Default Rate by Category</w:t>
      </w:r>
    </w:p>
    <w:p w14:paraId="72AC39AA">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787140"/>
            <wp:effectExtent l="0" t="0" r="0" b="0"/>
            <wp:docPr id="96" name="Picture" descr="Default Rate by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Default Rate by Education"/>
                    <pic:cNvPicPr>
                      <a:picLocks noChangeAspect="1" noChangeArrowheads="1"/>
                    </pic:cNvPicPr>
                  </pic:nvPicPr>
                  <pic:blipFill>
                    <a:blip r:embed="rId22"/>
                    <a:stretch>
                      <a:fillRect/>
                    </a:stretch>
                  </pic:blipFill>
                  <pic:spPr>
                    <a:xfrm>
                      <a:off x="0" y="0"/>
                      <a:ext cx="5334000" cy="3787222"/>
                    </a:xfrm>
                    <a:prstGeom prst="rect">
                      <a:avLst/>
                    </a:prstGeom>
                    <a:noFill/>
                    <a:ln w="9525">
                      <a:noFill/>
                    </a:ln>
                  </pic:spPr>
                </pic:pic>
              </a:graphicData>
            </a:graphic>
          </wp:inline>
        </w:drawing>
      </w:r>
    </w:p>
    <w:p w14:paraId="5653595F">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shows</w:t>
      </w:r>
      <w:r>
        <w:rPr>
          <w:rFonts w:hint="default" w:ascii="Times New Roman" w:hAnsi="Times New Roman" w:cs="Times New Roman"/>
          <w:sz w:val="22"/>
          <w:szCs w:val="22"/>
        </w:rPr>
        <w:t>:</w:t>
      </w:r>
    </w:p>
    <w:p w14:paraId="41133A88">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Risk varies significantly within categories</w:t>
      </w:r>
    </w:p>
    <w:p w14:paraId="0865FCB8">
      <w:pPr>
        <w:pStyle w:val="23"/>
        <w:rPr>
          <w:rFonts w:hint="default" w:ascii="Times New Roman" w:hAnsi="Times New Roman" w:cs="Times New Roman"/>
          <w:sz w:val="22"/>
          <w:szCs w:val="22"/>
        </w:rPr>
      </w:pPr>
      <w:r>
        <w:rPr>
          <w:rFonts w:hint="default" w:ascii="Times New Roman" w:hAnsi="Times New Roman" w:cs="Times New Roman"/>
          <w:b/>
          <w:bCs/>
          <w:sz w:val="22"/>
          <w:szCs w:val="22"/>
        </w:rPr>
        <w:t>Why it matters</w:t>
      </w:r>
      <w:r>
        <w:rPr>
          <w:rFonts w:hint="default" w:ascii="Times New Roman" w:hAnsi="Times New Roman" w:cs="Times New Roman"/>
          <w:sz w:val="22"/>
          <w:szCs w:val="22"/>
        </w:rPr>
        <w:t>:</w:t>
      </w:r>
    </w:p>
    <w:p w14:paraId="66631A19">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Supports segmentation-based policy rules</w:t>
      </w:r>
    </w:p>
    <w:bookmarkEnd w:id="35"/>
    <w:p w14:paraId="6EDF4A2D">
      <w:pPr>
        <w:pStyle w:val="5"/>
        <w:rPr>
          <w:rFonts w:hint="default" w:ascii="Times New Roman" w:hAnsi="Times New Roman" w:cs="Times New Roman"/>
          <w:sz w:val="24"/>
          <w:szCs w:val="24"/>
        </w:rPr>
      </w:pPr>
      <w:bookmarkStart w:id="36" w:name="X58e11ce12efe277397dbf50a31ee28e35e35208"/>
      <w:r>
        <w:rPr>
          <w:rFonts w:hint="default" w:ascii="Times New Roman" w:hAnsi="Times New Roman" w:cs="Times New Roman"/>
          <w:b/>
          <w:bCs/>
          <w:sz w:val="24"/>
          <w:szCs w:val="24"/>
        </w:rPr>
        <w:t>7.2 Numerical Binning &amp; Risk Trend</w:t>
      </w:r>
    </w:p>
    <w:p w14:paraId="1ACA3B56">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302000"/>
            <wp:effectExtent l="0" t="0" r="0" b="0"/>
            <wp:docPr id="100" name="Picture" descr="Default_Rate_by_Quintile_of_AGE_AT_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Default_Rate_by_Quintile_of_AGE_AT_LOAN"/>
                    <pic:cNvPicPr>
                      <a:picLocks noChangeAspect="1" noChangeArrowheads="1"/>
                    </pic:cNvPicPr>
                  </pic:nvPicPr>
                  <pic:blipFill>
                    <a:blip r:embed="rId23"/>
                    <a:stretch>
                      <a:fillRect/>
                    </a:stretch>
                  </pic:blipFill>
                  <pic:spPr>
                    <a:xfrm>
                      <a:off x="0" y="0"/>
                      <a:ext cx="5334000" cy="3302000"/>
                    </a:xfrm>
                    <a:prstGeom prst="rect">
                      <a:avLst/>
                    </a:prstGeom>
                    <a:noFill/>
                    <a:ln w="9525">
                      <a:noFill/>
                    </a:ln>
                  </pic:spPr>
                </pic:pic>
              </a:graphicData>
            </a:graphic>
          </wp:inline>
        </w:drawing>
      </w: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334000" cy="3303905"/>
            <wp:effectExtent l="0" t="0" r="0" b="0"/>
            <wp:docPr id="103" name="Picture" descr="Default_Rate_by_Quintile_of_AMT_AN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Default_Rate_by_Quintile_of_AMT_ANNUITY"/>
                    <pic:cNvPicPr>
                      <a:picLocks noChangeAspect="1" noChangeArrowheads="1"/>
                    </pic:cNvPicPr>
                  </pic:nvPicPr>
                  <pic:blipFill>
                    <a:blip r:embed="rId24"/>
                    <a:stretch>
                      <a:fillRect/>
                    </a:stretch>
                  </pic:blipFill>
                  <pic:spPr>
                    <a:xfrm>
                      <a:off x="0" y="0"/>
                      <a:ext cx="5334000" cy="3304267"/>
                    </a:xfrm>
                    <a:prstGeom prst="rect">
                      <a:avLst/>
                    </a:prstGeom>
                    <a:noFill/>
                    <a:ln w="9525">
                      <a:noFill/>
                    </a:ln>
                  </pic:spPr>
                </pic:pic>
              </a:graphicData>
            </a:graphic>
          </wp:inline>
        </w:drawing>
      </w:r>
    </w:p>
    <w:p w14:paraId="2A50E27C">
      <w:pPr>
        <w:pStyle w:val="3"/>
        <w:rPr>
          <w:rFonts w:hint="default" w:ascii="Times New Roman" w:hAnsi="Times New Roman" w:cs="Times New Roman"/>
          <w:sz w:val="22"/>
          <w:szCs w:val="22"/>
        </w:rPr>
      </w:pPr>
      <w:r>
        <w:rPr>
          <w:rFonts w:hint="default" w:ascii="Times New Roman" w:hAnsi="Times New Roman" w:cs="Times New Roman"/>
          <w:b/>
          <w:bCs/>
          <w:sz w:val="22"/>
          <w:szCs w:val="22"/>
        </w:rPr>
        <w:t>Insight</w:t>
      </w:r>
      <w:r>
        <w:rPr>
          <w:rFonts w:hint="default" w:ascii="Times New Roman" w:hAnsi="Times New Roman" w:cs="Times New Roman"/>
          <w:sz w:val="22"/>
          <w:szCs w:val="22"/>
        </w:rPr>
        <w:t>:</w:t>
      </w:r>
    </w:p>
    <w:p w14:paraId="23F1950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Clear monotonic increase in default</w:t>
      </w:r>
    </w:p>
    <w:p w14:paraId="15457582">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Validates ratio-based feature engineering</w:t>
      </w:r>
    </w:p>
    <w:bookmarkEnd w:id="36"/>
    <w:p w14:paraId="512D056E">
      <w:pPr>
        <w:pStyle w:val="5"/>
        <w:rPr>
          <w:rFonts w:hint="default" w:ascii="Times New Roman" w:hAnsi="Times New Roman" w:cs="Times New Roman"/>
          <w:sz w:val="24"/>
          <w:szCs w:val="24"/>
        </w:rPr>
      </w:pPr>
      <w:bookmarkStart w:id="37" w:name="X83a4010b5d846f2d6f49bd26cd8689946e50188"/>
      <w:r>
        <w:rPr>
          <w:rFonts w:hint="default" w:ascii="Times New Roman" w:hAnsi="Times New Roman" w:cs="Times New Roman"/>
          <w:b/>
          <w:bCs/>
          <w:sz w:val="24"/>
          <w:szCs w:val="24"/>
        </w:rPr>
        <w:t>7.3 Interaction Analysis</w:t>
      </w:r>
    </w:p>
    <w:p w14:paraId="4EAACBBA">
      <w:pPr>
        <w:pStyle w:val="2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463165"/>
            <wp:effectExtent l="0" t="0" r="0" b="0"/>
            <wp:docPr id="107" name="Picture" descr="Age Distribution by Gender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Age Distribution by Gender and TARGET"/>
                    <pic:cNvPicPr>
                      <a:picLocks noChangeAspect="1" noChangeArrowheads="1"/>
                    </pic:cNvPicPr>
                  </pic:nvPicPr>
                  <pic:blipFill>
                    <a:blip r:embed="rId25"/>
                    <a:stretch>
                      <a:fillRect/>
                    </a:stretch>
                  </pic:blipFill>
                  <pic:spPr>
                    <a:xfrm>
                      <a:off x="0" y="0"/>
                      <a:ext cx="5334000" cy="2463514"/>
                    </a:xfrm>
                    <a:prstGeom prst="rect">
                      <a:avLst/>
                    </a:prstGeom>
                    <a:noFill/>
                    <a:ln w="9525">
                      <a:noFill/>
                    </a:ln>
                  </pic:spPr>
                </pic:pic>
              </a:graphicData>
            </a:graphic>
          </wp:inline>
        </w:drawing>
      </w:r>
    </w:p>
    <w:p w14:paraId="2007925D">
      <w:pPr>
        <w:pStyle w:val="3"/>
        <w:rPr>
          <w:rFonts w:hint="default" w:ascii="Times New Roman" w:hAnsi="Times New Roman" w:cs="Times New Roman"/>
          <w:sz w:val="22"/>
          <w:szCs w:val="22"/>
        </w:rPr>
      </w:pPr>
      <w:r>
        <w:rPr>
          <w:rFonts w:hint="default" w:ascii="Times New Roman" w:hAnsi="Times New Roman" w:cs="Times New Roman"/>
          <w:b/>
          <w:bCs/>
          <w:sz w:val="22"/>
          <w:szCs w:val="22"/>
        </w:rPr>
        <w:t>What this reveals</w:t>
      </w:r>
      <w:r>
        <w:rPr>
          <w:rFonts w:hint="default" w:ascii="Times New Roman" w:hAnsi="Times New Roman" w:cs="Times New Roman"/>
          <w:sz w:val="22"/>
          <w:szCs w:val="22"/>
        </w:rPr>
        <w:t>:</w:t>
      </w:r>
    </w:p>
    <w:p w14:paraId="4E7B93E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Gender alone is weak</w:t>
      </w:r>
    </w:p>
    <w:p w14:paraId="262A700B">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Gender </w:t>
      </w:r>
      <w:r>
        <w:rPr>
          <w:rFonts w:hint="default" w:ascii="Times New Roman" w:hAnsi="Times New Roman" w:cs="Times New Roman"/>
          <w:i/>
          <w:iCs/>
          <w:sz w:val="22"/>
          <w:szCs w:val="22"/>
        </w:rPr>
        <w:t>within age bands</w:t>
      </w:r>
      <w:r>
        <w:rPr>
          <w:rFonts w:hint="default" w:ascii="Times New Roman" w:hAnsi="Times New Roman" w:cs="Times New Roman"/>
          <w:sz w:val="22"/>
          <w:szCs w:val="22"/>
        </w:rPr>
        <w:t xml:space="preserve"> modifies risk</w:t>
      </w:r>
    </w:p>
    <w:p w14:paraId="3D56FB29">
      <w:pPr>
        <w:pStyle w:val="23"/>
        <w:rPr>
          <w:rFonts w:hint="default" w:ascii="Times New Roman" w:hAnsi="Times New Roman" w:cs="Times New Roman"/>
          <w:sz w:val="22"/>
          <w:szCs w:val="22"/>
        </w:rPr>
      </w:pPr>
      <w:r>
        <w:rPr>
          <w:rFonts w:hint="default" w:ascii="Times New Roman" w:hAnsi="Times New Roman" w:cs="Times New Roman"/>
          <w:b/>
          <w:bCs/>
          <w:sz w:val="22"/>
          <w:szCs w:val="22"/>
        </w:rPr>
        <w:t>Modeling Implication</w:t>
      </w:r>
      <w:r>
        <w:rPr>
          <w:rFonts w:hint="default" w:ascii="Times New Roman" w:hAnsi="Times New Roman" w:cs="Times New Roman"/>
          <w:sz w:val="22"/>
          <w:szCs w:val="22"/>
        </w:rPr>
        <w:t>: Supports interaction-aware models.</w:t>
      </w:r>
    </w:p>
    <w:bookmarkEnd w:id="34"/>
    <w:bookmarkEnd w:id="37"/>
    <w:p w14:paraId="2058FAEA">
      <w:pPr>
        <w:pStyle w:val="4"/>
        <w:rPr>
          <w:rFonts w:hint="default" w:ascii="Times New Roman" w:hAnsi="Times New Roman" w:cs="Times New Roman"/>
          <w:sz w:val="28"/>
          <w:szCs w:val="28"/>
        </w:rPr>
      </w:pPr>
      <w:bookmarkStart w:id="38" w:name="Xb8718893ac329e78469e0baa9b2fa0f4ba18bc6"/>
      <w:r>
        <w:rPr>
          <w:rFonts w:hint="default" w:ascii="Times New Roman" w:hAnsi="Times New Roman" w:cs="Times New Roman"/>
          <w:b/>
          <w:bCs/>
          <w:sz w:val="28"/>
          <w:szCs w:val="28"/>
        </w:rPr>
        <w:t>8. Outlier Analysis (IQR Method)</w:t>
      </w:r>
    </w:p>
    <w:p w14:paraId="0E5D8934">
      <w:pPr>
        <w:pStyle w:val="23"/>
        <w:rPr>
          <w:rFonts w:hint="default" w:ascii="Times New Roman" w:hAnsi="Times New Roman" w:cs="Times New Roman"/>
          <w:sz w:val="22"/>
          <w:szCs w:val="22"/>
        </w:rPr>
      </w:pPr>
      <w:r>
        <w:rPr>
          <w:rFonts w:hint="default" w:ascii="Times New Roman" w:hAnsi="Times New Roman" w:cs="Times New Roman"/>
          <w:b/>
          <w:bCs/>
          <w:sz w:val="22"/>
          <w:szCs w:val="22"/>
        </w:rPr>
        <w:t>Approach</w:t>
      </w:r>
      <w:r>
        <w:rPr>
          <w:rFonts w:hint="default" w:ascii="Times New Roman" w:hAnsi="Times New Roman" w:cs="Times New Roman"/>
          <w:sz w:val="22"/>
          <w:szCs w:val="22"/>
        </w:rPr>
        <w:t>:</w:t>
      </w:r>
    </w:p>
    <w:p w14:paraId="66360908">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Applied IQR on numerical variables only</w:t>
      </w:r>
    </w:p>
    <w:p w14:paraId="3EA9D16A">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IDs and target excluded</w:t>
      </w:r>
    </w:p>
    <w:p w14:paraId="68618382">
      <w:pPr>
        <w:pStyle w:val="23"/>
        <w:rPr>
          <w:rFonts w:hint="default" w:ascii="Times New Roman" w:hAnsi="Times New Roman" w:cs="Times New Roman"/>
          <w:sz w:val="22"/>
          <w:szCs w:val="22"/>
        </w:rPr>
      </w:pPr>
      <w:r>
        <w:rPr>
          <w:rFonts w:hint="default" w:ascii="Times New Roman" w:hAnsi="Times New Roman" w:cs="Times New Roman"/>
          <w:b/>
          <w:bCs/>
          <w:sz w:val="22"/>
          <w:szCs w:val="22"/>
        </w:rPr>
        <w:t>Findings</w:t>
      </w:r>
      <w:r>
        <w:rPr>
          <w:rFonts w:hint="default" w:ascii="Times New Roman" w:hAnsi="Times New Roman" w:cs="Times New Roman"/>
          <w:sz w:val="22"/>
          <w:szCs w:val="22"/>
        </w:rPr>
        <w:t>:</w:t>
      </w:r>
    </w:p>
    <w:p w14:paraId="7FAD05CD">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Outliers concentrated in income and loan size</w:t>
      </w:r>
    </w:p>
    <w:p w14:paraId="52B7DF10">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Represent real but high-risk applicants</w:t>
      </w:r>
    </w:p>
    <w:p w14:paraId="6DEEDD82">
      <w:pPr>
        <w:pStyle w:val="23"/>
        <w:rPr>
          <w:rFonts w:hint="default" w:ascii="Times New Roman" w:hAnsi="Times New Roman" w:cs="Times New Roman"/>
          <w:sz w:val="22"/>
          <w:szCs w:val="22"/>
        </w:rPr>
      </w:pPr>
      <w:r>
        <w:rPr>
          <w:rFonts w:hint="default" w:ascii="Times New Roman" w:hAnsi="Times New Roman" w:cs="Times New Roman"/>
          <w:b/>
          <w:bCs/>
          <w:sz w:val="22"/>
          <w:szCs w:val="22"/>
        </w:rPr>
        <w:t>Action</w:t>
      </w:r>
      <w:r>
        <w:rPr>
          <w:rFonts w:hint="default" w:ascii="Times New Roman" w:hAnsi="Times New Roman" w:cs="Times New Roman"/>
          <w:sz w:val="22"/>
          <w:szCs w:val="22"/>
        </w:rPr>
        <w:t>: Outliers retained but handled via robust modeling.</w:t>
      </w:r>
    </w:p>
    <w:bookmarkEnd w:id="38"/>
    <w:p w14:paraId="046BD41D">
      <w:pPr>
        <w:pStyle w:val="4"/>
        <w:rPr>
          <w:rFonts w:hint="default" w:ascii="Times New Roman" w:hAnsi="Times New Roman" w:cs="Times New Roman"/>
          <w:sz w:val="28"/>
          <w:szCs w:val="28"/>
        </w:rPr>
      </w:pPr>
      <w:bookmarkStart w:id="39" w:name="Xaa40bcd6f14aeee57608a5a435a1ce4de6a7f6c"/>
      <w:r>
        <w:rPr>
          <w:rFonts w:hint="default" w:ascii="Times New Roman" w:hAnsi="Times New Roman" w:cs="Times New Roman"/>
          <w:b/>
          <w:bCs/>
          <w:sz w:val="28"/>
          <w:szCs w:val="28"/>
        </w:rPr>
        <w:t>9. Feature Importance Validation (Random Forest)</w:t>
      </w:r>
    </w:p>
    <w:p w14:paraId="42D7C621">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section validates all exploratory findings using a </w:t>
      </w:r>
      <w:r>
        <w:rPr>
          <w:rFonts w:hint="default" w:ascii="Times New Roman" w:hAnsi="Times New Roman" w:cs="Times New Roman"/>
          <w:b/>
          <w:bCs/>
          <w:sz w:val="22"/>
          <w:szCs w:val="22"/>
        </w:rPr>
        <w:t>tree-based, non-linear ensemble model</w:t>
      </w:r>
      <w:r>
        <w:rPr>
          <w:rFonts w:hint="default" w:ascii="Times New Roman" w:hAnsi="Times New Roman" w:cs="Times New Roman"/>
          <w:sz w:val="22"/>
          <w:szCs w:val="22"/>
        </w:rPr>
        <w:t>, ensuring that insights derived from EDA are not purely visual but hold predictive value in a supervised learning context.</w:t>
      </w:r>
    </w:p>
    <w:p w14:paraId="03484380">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4248785"/>
            <wp:effectExtent l="0" t="0" r="0" b="0"/>
            <wp:docPr id="113" name="Picture" descr="Top 20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Top 20 Feature Importances"/>
                    <pic:cNvPicPr>
                      <a:picLocks noChangeAspect="1" noChangeArrowheads="1"/>
                    </pic:cNvPicPr>
                  </pic:nvPicPr>
                  <pic:blipFill>
                    <a:blip r:embed="rId26"/>
                    <a:stretch>
                      <a:fillRect/>
                    </a:stretch>
                  </pic:blipFill>
                  <pic:spPr>
                    <a:xfrm>
                      <a:off x="0" y="0"/>
                      <a:ext cx="5334000" cy="4249149"/>
                    </a:xfrm>
                    <a:prstGeom prst="rect">
                      <a:avLst/>
                    </a:prstGeom>
                    <a:noFill/>
                    <a:ln w="9525">
                      <a:noFill/>
                    </a:ln>
                  </pic:spPr>
                </pic:pic>
              </a:graphicData>
            </a:graphic>
          </wp:inline>
        </w:drawing>
      </w:r>
    </w:p>
    <w:p w14:paraId="29EE5079">
      <w:pPr>
        <w:pStyle w:val="3"/>
        <w:rPr>
          <w:rFonts w:hint="default" w:ascii="Times New Roman" w:hAnsi="Times New Roman" w:cs="Times New Roman"/>
          <w:sz w:val="22"/>
          <w:szCs w:val="22"/>
        </w:rPr>
      </w:pPr>
      <w:r>
        <w:rPr>
          <w:rFonts w:hint="default" w:ascii="Times New Roman" w:hAnsi="Times New Roman" w:cs="Times New Roman"/>
          <w:b/>
          <w:bCs/>
          <w:sz w:val="22"/>
          <w:szCs w:val="22"/>
        </w:rPr>
        <w:t>Purpose</w:t>
      </w:r>
      <w:r>
        <w:rPr>
          <w:rFonts w:hint="default" w:ascii="Times New Roman" w:hAnsi="Times New Roman" w:cs="Times New Roman"/>
          <w:sz w:val="22"/>
          <w:szCs w:val="22"/>
        </w:rPr>
        <w:t>:</w:t>
      </w:r>
    </w:p>
    <w:p w14:paraId="3BF1123B">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Validate EDA insights using a non-linear model</w:t>
      </w:r>
    </w:p>
    <w:p w14:paraId="20673F91">
      <w:pPr>
        <w:pStyle w:val="23"/>
        <w:rPr>
          <w:rFonts w:hint="default" w:ascii="Times New Roman" w:hAnsi="Times New Roman" w:cs="Times New Roman"/>
          <w:sz w:val="22"/>
          <w:szCs w:val="22"/>
        </w:rPr>
      </w:pPr>
      <w:r>
        <w:rPr>
          <w:rFonts w:hint="default" w:ascii="Times New Roman" w:hAnsi="Times New Roman" w:cs="Times New Roman"/>
          <w:b/>
          <w:bCs/>
          <w:sz w:val="22"/>
          <w:szCs w:val="22"/>
        </w:rPr>
        <w:t>Top Drivers Identified</w:t>
      </w:r>
      <w:r>
        <w:rPr>
          <w:rFonts w:hint="default" w:ascii="Times New Roman" w:hAnsi="Times New Roman" w:cs="Times New Roman"/>
          <w:sz w:val="22"/>
          <w:szCs w:val="22"/>
        </w:rPr>
        <w:t>:</w:t>
      </w:r>
    </w:p>
    <w:p w14:paraId="71CBB2AA">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EXT_SOURCE_MEAN</w:t>
      </w:r>
    </w:p>
    <w:p w14:paraId="0E3A3D92">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CREDIT_GOODS_RATIO</w:t>
      </w:r>
    </w:p>
    <w:p w14:paraId="57D8ED7A">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AGE_AT_LOAN</w:t>
      </w:r>
    </w:p>
    <w:p w14:paraId="7C7D0C8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PREV_REFUSAL_RATE</w:t>
      </w:r>
    </w:p>
    <w:p w14:paraId="7874D871">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ANNUITY_INCOME_RATIO</w:t>
      </w:r>
    </w:p>
    <w:p w14:paraId="7C9E1B4F">
      <w:pPr>
        <w:pStyle w:val="23"/>
        <w:rPr>
          <w:rFonts w:hint="default" w:ascii="Times New Roman" w:hAnsi="Times New Roman" w:cs="Times New Roman"/>
          <w:sz w:val="22"/>
          <w:szCs w:val="22"/>
        </w:rPr>
      </w:pPr>
      <w:r>
        <w:rPr>
          <w:rFonts w:hint="default" w:ascii="Times New Roman" w:hAnsi="Times New Roman" w:cs="Times New Roman"/>
          <w:b/>
          <w:bCs/>
          <w:sz w:val="22"/>
          <w:szCs w:val="22"/>
        </w:rPr>
        <w:t>Model Performance</w:t>
      </w:r>
      <w:r>
        <w:rPr>
          <w:rFonts w:hint="default" w:ascii="Times New Roman" w:hAnsi="Times New Roman" w:cs="Times New Roman"/>
          <w:sz w:val="22"/>
          <w:szCs w:val="22"/>
        </w:rPr>
        <w:t>:</w:t>
      </w:r>
    </w:p>
    <w:p w14:paraId="5E152A03">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ROC-AUC: </w:t>
      </w:r>
      <w:r>
        <w:rPr>
          <w:rFonts w:hint="default" w:ascii="Times New Roman" w:hAnsi="Times New Roman" w:cs="Times New Roman"/>
          <w:b/>
          <w:bCs/>
          <w:sz w:val="22"/>
          <w:szCs w:val="22"/>
        </w:rPr>
        <w:t>0.7549</w:t>
      </w:r>
    </w:p>
    <w:p w14:paraId="23E1FFA6">
      <w:pPr>
        <w:pStyle w:val="23"/>
        <w:rPr>
          <w:rFonts w:hint="default" w:ascii="Times New Roman" w:hAnsi="Times New Roman" w:cs="Times New Roman"/>
          <w:sz w:val="22"/>
          <w:szCs w:val="22"/>
        </w:rPr>
      </w:pPr>
      <w:r>
        <w:rPr>
          <w:rFonts w:hint="default" w:ascii="Times New Roman" w:hAnsi="Times New Roman" w:cs="Times New Roman"/>
          <w:b/>
          <w:bCs/>
          <w:sz w:val="22"/>
          <w:szCs w:val="22"/>
        </w:rPr>
        <w:t>Interpretation</w:t>
      </w:r>
      <w:r>
        <w:rPr>
          <w:rFonts w:hint="default" w:ascii="Times New Roman" w:hAnsi="Times New Roman" w:cs="Times New Roman"/>
          <w:sz w:val="22"/>
          <w:szCs w:val="22"/>
        </w:rPr>
        <w:t>: Strong discrimination for baseline risk validation.</w:t>
      </w:r>
    </w:p>
    <w:bookmarkEnd w:id="39"/>
    <w:p w14:paraId="6F32D5FF">
      <w:pPr>
        <w:pStyle w:val="4"/>
        <w:rPr>
          <w:rFonts w:hint="default" w:ascii="Times New Roman" w:hAnsi="Times New Roman" w:cs="Times New Roman"/>
          <w:sz w:val="28"/>
          <w:szCs w:val="28"/>
        </w:rPr>
      </w:pPr>
      <w:bookmarkStart w:id="40" w:name="X8b4ce6f372dd25c12e75d2adc9dd8ae839d0460"/>
      <w:r>
        <w:rPr>
          <w:rFonts w:hint="default" w:ascii="Times New Roman" w:hAnsi="Times New Roman" w:cs="Times New Roman"/>
          <w:b/>
          <w:bCs/>
          <w:sz w:val="28"/>
          <w:szCs w:val="28"/>
        </w:rPr>
        <w:t>10. Risk Scoring &amp; BI Readiness</w:t>
      </w:r>
    </w:p>
    <w:p w14:paraId="4F0A9FAC">
      <w:pPr>
        <w:pStyle w:val="23"/>
        <w:rPr>
          <w:rFonts w:hint="default" w:ascii="Times New Roman" w:hAnsi="Times New Roman" w:cs="Times New Roman"/>
          <w:sz w:val="22"/>
          <w:szCs w:val="22"/>
        </w:rPr>
      </w:pPr>
      <w:r>
        <w:rPr>
          <w:rFonts w:hint="default" w:ascii="Times New Roman" w:hAnsi="Times New Roman" w:cs="Times New Roman"/>
          <w:sz w:val="22"/>
          <w:szCs w:val="22"/>
        </w:rPr>
        <w:t>Each application enriched with:</w:t>
      </w:r>
    </w:p>
    <w:p w14:paraId="5F4B576A">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RISK_PROBA</w:t>
      </w:r>
      <w:r>
        <w:rPr>
          <w:rFonts w:hint="default" w:ascii="Times New Roman" w:hAnsi="Times New Roman" w:cs="Times New Roman"/>
          <w:sz w:val="22"/>
          <w:szCs w:val="22"/>
        </w:rPr>
        <w:t xml:space="preserve"> – predicted default probability</w:t>
      </w:r>
    </w:p>
    <w:p w14:paraId="055B523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RISK_SCORE</w:t>
      </w:r>
      <w:r>
        <w:rPr>
          <w:rFonts w:hint="default" w:ascii="Times New Roman" w:hAnsi="Times New Roman" w:cs="Times New Roman"/>
          <w:sz w:val="22"/>
          <w:szCs w:val="22"/>
        </w:rPr>
        <w:t xml:space="preserve"> – scaled 0–1000 risk score</w:t>
      </w:r>
    </w:p>
    <w:p w14:paraId="6BA92BE6">
      <w:pPr>
        <w:pStyle w:val="23"/>
        <w:rPr>
          <w:rFonts w:hint="default" w:ascii="Times New Roman" w:hAnsi="Times New Roman" w:cs="Times New Roman"/>
          <w:sz w:val="22"/>
          <w:szCs w:val="22"/>
        </w:rPr>
      </w:pPr>
      <w:r>
        <w:rPr>
          <w:rFonts w:hint="default" w:ascii="Times New Roman" w:hAnsi="Times New Roman" w:cs="Times New Roman"/>
          <w:b/>
          <w:bCs/>
          <w:sz w:val="22"/>
          <w:szCs w:val="22"/>
        </w:rPr>
        <w:t>Output File</w:t>
      </w:r>
    </w:p>
    <w:p w14:paraId="6F03D742">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data/final_dataset/FINAL_DATASET_FOR_WITH_RISK_SCORE.csv</w:t>
      </w:r>
    </w:p>
    <w:p w14:paraId="26C08252">
      <w:pPr>
        <w:pStyle w:val="23"/>
        <w:rPr>
          <w:rFonts w:hint="default" w:ascii="Times New Roman" w:hAnsi="Times New Roman" w:cs="Times New Roman"/>
          <w:sz w:val="22"/>
          <w:szCs w:val="22"/>
        </w:rPr>
      </w:pPr>
      <w:r>
        <w:rPr>
          <w:rFonts w:hint="default" w:ascii="Times New Roman" w:hAnsi="Times New Roman" w:cs="Times New Roman"/>
          <w:b/>
          <w:bCs/>
          <w:sz w:val="22"/>
          <w:szCs w:val="22"/>
        </w:rPr>
        <w:t>Business Value</w:t>
      </w:r>
      <w:r>
        <w:rPr>
          <w:rFonts w:hint="default" w:ascii="Times New Roman" w:hAnsi="Times New Roman" w:cs="Times New Roman"/>
          <w:sz w:val="22"/>
          <w:szCs w:val="22"/>
        </w:rPr>
        <w:t>:</w:t>
      </w:r>
    </w:p>
    <w:p w14:paraId="02C6B04B">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Plug-and-play Power BI integration</w:t>
      </w:r>
    </w:p>
    <w:p w14:paraId="671D85E6">
      <w:pPr>
        <w:pStyle w:val="24"/>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Enables thresholding, segmentation, and monitoring</w:t>
      </w:r>
    </w:p>
    <w:bookmarkEnd w:id="40"/>
    <w:p w14:paraId="3CE969D0">
      <w:pPr>
        <w:pStyle w:val="4"/>
        <w:rPr>
          <w:rFonts w:hint="default" w:ascii="Times New Roman" w:hAnsi="Times New Roman" w:cs="Times New Roman"/>
          <w:sz w:val="28"/>
          <w:szCs w:val="28"/>
        </w:rPr>
      </w:pPr>
      <w:bookmarkStart w:id="41" w:name="power-bi-dashboard"/>
      <w:r>
        <w:rPr>
          <w:rFonts w:hint="default" w:ascii="Times New Roman" w:hAnsi="Times New Roman" w:cs="Times New Roman"/>
          <w:b/>
          <w:bCs/>
          <w:sz w:val="28"/>
          <w:szCs w:val="28"/>
        </w:rPr>
        <w:t>Power BI Dashboard</w:t>
      </w:r>
    </w:p>
    <w:p w14:paraId="22752825">
      <w:pPr>
        <w:pStyle w:val="5"/>
        <w:rPr>
          <w:rFonts w:hint="default" w:ascii="Times New Roman" w:hAnsi="Times New Roman" w:cs="Times New Roman"/>
          <w:sz w:val="24"/>
          <w:szCs w:val="24"/>
        </w:rPr>
      </w:pPr>
      <w:bookmarkStart w:id="42" w:name="X3de3acc945d332cf8058c76b7e24fec0a42bccd"/>
      <w:r>
        <w:rPr>
          <w:rFonts w:hint="default" w:ascii="Times New Roman" w:hAnsi="Times New Roman" w:cs="Times New Roman"/>
          <w:b/>
          <w:bCs/>
          <w:sz w:val="24"/>
          <w:szCs w:val="24"/>
        </w:rPr>
        <w:t>1. Overview Page</w:t>
      </w:r>
    </w:p>
    <w:p w14:paraId="6A14AA91">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Fonts w:hint="default" w:ascii="Times New Roman" w:hAnsi="Times New Roman" w:cs="Times New Roman"/>
          <w:b/>
          <w:bCs/>
          <w:sz w:val="22"/>
          <w:szCs w:val="22"/>
        </w:rPr>
        <w:t>Overview Page</w:t>
      </w:r>
      <w:r>
        <w:rPr>
          <w:rFonts w:hint="default" w:ascii="Times New Roman" w:hAnsi="Times New Roman" w:cs="Times New Roman"/>
          <w:sz w:val="22"/>
          <w:szCs w:val="22"/>
        </w:rPr>
        <w:t xml:space="preserve"> serves as the executive summary for the credit risk analysis, providing a high-level snapshot of the loan portfolio's health, applicant demographics, and key risk indicators. It is designed to allow stakeholders to quickly gauge the magnitude of applications, identify the volume of "at-risk" loans, and filter data by key demographics.</w:t>
      </w:r>
    </w:p>
    <w:p w14:paraId="2B5558A1">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Overview Dashboard </w:t>
      </w:r>
      <w:r>
        <w:rPr>
          <w:rFonts w:hint="default" w:ascii="Times New Roman" w:hAnsi="Times New Roman" w:cs="Times New Roman"/>
          <w:sz w:val="22"/>
          <w:szCs w:val="22"/>
        </w:rPr>
        <w:drawing>
          <wp:inline distT="0" distB="0" distL="114300" distR="114300">
            <wp:extent cx="5334000" cy="3007360"/>
            <wp:effectExtent l="0" t="0" r="0" b="0"/>
            <wp:docPr id="118" name="Picture" descr="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Overview Dashboard"/>
                    <pic:cNvPicPr>
                      <a:picLocks noChangeAspect="1" noChangeArrowheads="1"/>
                    </pic:cNvPicPr>
                  </pic:nvPicPr>
                  <pic:blipFill>
                    <a:blip r:embed="rId27"/>
                    <a:stretch>
                      <a:fillRect/>
                    </a:stretch>
                  </pic:blipFill>
                  <pic:spPr>
                    <a:xfrm>
                      <a:off x="0" y="0"/>
                      <a:ext cx="5334000" cy="3007866"/>
                    </a:xfrm>
                    <a:prstGeom prst="rect">
                      <a:avLst/>
                    </a:prstGeom>
                    <a:noFill/>
                    <a:ln w="9525">
                      <a:noFill/>
                    </a:ln>
                  </pic:spPr>
                </pic:pic>
              </a:graphicData>
            </a:graphic>
          </wp:inline>
        </w:drawing>
      </w:r>
    </w:p>
    <w:p w14:paraId="1A0515BC">
      <w:pPr>
        <w:pStyle w:val="6"/>
        <w:rPr>
          <w:rFonts w:hint="default" w:ascii="Times New Roman" w:hAnsi="Times New Roman" w:cs="Times New Roman"/>
          <w:sz w:val="22"/>
          <w:szCs w:val="22"/>
        </w:rPr>
      </w:pPr>
      <w:bookmarkStart w:id="43" w:name="key-performance-indicators-kpis"/>
      <w:r>
        <w:rPr>
          <w:rFonts w:hint="default" w:ascii="Times New Roman" w:hAnsi="Times New Roman" w:cs="Times New Roman"/>
          <w:b/>
          <w:bCs/>
          <w:sz w:val="22"/>
          <w:szCs w:val="22"/>
        </w:rPr>
        <w:t>Key Performance Indicators (KPIs)</w:t>
      </w:r>
    </w:p>
    <w:p w14:paraId="25C1B3CD">
      <w:pPr>
        <w:pStyle w:val="23"/>
        <w:rPr>
          <w:rFonts w:hint="default" w:ascii="Times New Roman" w:hAnsi="Times New Roman" w:cs="Times New Roman"/>
          <w:sz w:val="22"/>
          <w:szCs w:val="22"/>
        </w:rPr>
      </w:pPr>
      <w:r>
        <w:rPr>
          <w:rFonts w:hint="default" w:ascii="Times New Roman" w:hAnsi="Times New Roman" w:cs="Times New Roman"/>
          <w:sz w:val="22"/>
          <w:szCs w:val="22"/>
        </w:rPr>
        <w:t>The top section highlights critical aggregate metrics:</w:t>
      </w:r>
    </w:p>
    <w:p w14:paraId="68C0703D">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total loan requests processed.</w:t>
      </w:r>
    </w:p>
    <w:p w14:paraId="4793429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Associated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25K</w:t>
      </w:r>
      <w:r>
        <w:rPr>
          <w:rFonts w:hint="default" w:ascii="Times New Roman" w:hAnsi="Times New Roman" w:cs="Times New Roman"/>
          <w:sz w:val="22"/>
          <w:szCs w:val="22"/>
        </w:rPr>
        <w:t xml:space="preserve"> applications flagged as defaults (approx. 8% of total).</w:t>
      </w:r>
    </w:p>
    <w:p w14:paraId="53CF559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Previously Approved Customers: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290.07K</w:t>
      </w:r>
      <w:r>
        <w:rPr>
          <w:rFonts w:hint="default" w:ascii="Times New Roman" w:hAnsi="Times New Roman" w:cs="Times New Roman"/>
          <w:sz w:val="22"/>
          <w:szCs w:val="22"/>
        </w:rPr>
        <w:t xml:space="preserve"> applicants with a history of prior approvals.</w:t>
      </w:r>
    </w:p>
    <w:p w14:paraId="5E1207D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Financial Scope:</w:t>
      </w:r>
      <w:r>
        <w:rPr>
          <w:rFonts w:hint="default" w:ascii="Times New Roman" w:hAnsi="Times New Roman" w:cs="Times New Roman"/>
          <w:sz w:val="22"/>
          <w:szCs w:val="22"/>
        </w:rPr>
        <w:t xml:space="preserve"> A total annuity exposure of </w:t>
      </w:r>
      <w:r>
        <w:rPr>
          <w:rFonts w:hint="default" w:ascii="Times New Roman" w:hAnsi="Times New Roman" w:cs="Times New Roman"/>
          <w:b/>
          <w:bCs/>
          <w:sz w:val="22"/>
          <w:szCs w:val="22"/>
        </w:rPr>
        <w:t>8.34bn</w:t>
      </w:r>
      <w:r>
        <w:rPr>
          <w:rFonts w:hint="default" w:ascii="Times New Roman" w:hAnsi="Times New Roman" w:cs="Times New Roman"/>
          <w:sz w:val="22"/>
          <w:szCs w:val="22"/>
        </w:rPr>
        <w:t xml:space="preserve">, with an average per-capita family income of </w:t>
      </w:r>
      <w:r>
        <w:rPr>
          <w:rFonts w:hint="default" w:ascii="Times New Roman" w:hAnsi="Times New Roman" w:cs="Times New Roman"/>
          <w:b/>
          <w:bCs/>
          <w:sz w:val="22"/>
          <w:szCs w:val="22"/>
        </w:rPr>
        <w:t>93.11K</w:t>
      </w:r>
      <w:r>
        <w:rPr>
          <w:rFonts w:hint="default" w:ascii="Times New Roman" w:hAnsi="Times New Roman" w:cs="Times New Roman"/>
          <w:sz w:val="22"/>
          <w:szCs w:val="22"/>
        </w:rPr>
        <w:t>.</w:t>
      </w:r>
    </w:p>
    <w:bookmarkEnd w:id="43"/>
    <w:p w14:paraId="2063ED10">
      <w:pPr>
        <w:pStyle w:val="6"/>
        <w:rPr>
          <w:rFonts w:hint="default" w:ascii="Times New Roman" w:hAnsi="Times New Roman" w:cs="Times New Roman"/>
          <w:sz w:val="22"/>
          <w:szCs w:val="22"/>
        </w:rPr>
      </w:pPr>
      <w:bookmarkStart w:id="44" w:name="financial--risk-ratios-gauge-indicators"/>
      <w:r>
        <w:rPr>
          <w:rFonts w:hint="default" w:ascii="Times New Roman" w:hAnsi="Times New Roman" w:cs="Times New Roman"/>
          <w:b/>
          <w:bCs/>
          <w:sz w:val="22"/>
          <w:szCs w:val="22"/>
        </w:rPr>
        <w:t>Financial &amp; Risk Ratios (Gauge Indicators)</w:t>
      </w:r>
    </w:p>
    <w:p w14:paraId="0BD812CC">
      <w:pPr>
        <w:pStyle w:val="23"/>
        <w:rPr>
          <w:rFonts w:hint="default" w:ascii="Times New Roman" w:hAnsi="Times New Roman" w:cs="Times New Roman"/>
          <w:sz w:val="22"/>
          <w:szCs w:val="22"/>
        </w:rPr>
      </w:pPr>
      <w:r>
        <w:rPr>
          <w:rFonts w:hint="default" w:ascii="Times New Roman" w:hAnsi="Times New Roman" w:cs="Times New Roman"/>
          <w:sz w:val="22"/>
          <w:szCs w:val="22"/>
        </w:rPr>
        <w:t>The second row visualizes critical financial health ratios that determine affordability and risk:</w:t>
      </w:r>
    </w:p>
    <w:p w14:paraId="4B4971D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Annuity to Income Ratio (0.18):</w:t>
      </w:r>
      <w:r>
        <w:rPr>
          <w:rFonts w:hint="default" w:ascii="Times New Roman" w:hAnsi="Times New Roman" w:cs="Times New Roman"/>
          <w:sz w:val="22"/>
          <w:szCs w:val="22"/>
        </w:rPr>
        <w:t xml:space="preserve"> On average, applicants spend 18% of their income on loan repayment, indicating a generally healthy affordability level.</w:t>
      </w:r>
    </w:p>
    <w:p w14:paraId="13E86BB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 to Income Ratio (3.96):</w:t>
      </w:r>
      <w:r>
        <w:rPr>
          <w:rFonts w:hint="default" w:ascii="Times New Roman" w:hAnsi="Times New Roman" w:cs="Times New Roman"/>
          <w:sz w:val="22"/>
          <w:szCs w:val="22"/>
        </w:rPr>
        <w:t xml:space="preserve"> The average loan size is nearly 4x the applicant's income.</w:t>
      </w:r>
    </w:p>
    <w:p w14:paraId="264F248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Percentage (0.08):</w:t>
      </w:r>
      <w:r>
        <w:rPr>
          <w:rFonts w:hint="default" w:ascii="Times New Roman" w:hAnsi="Times New Roman" w:cs="Times New Roman"/>
          <w:sz w:val="22"/>
          <w:szCs w:val="22"/>
        </w:rPr>
        <w:t xml:space="preserve"> Confirms the overall portfolio default rate is steady at 8%.</w:t>
      </w:r>
    </w:p>
    <w:bookmarkEnd w:id="44"/>
    <w:p w14:paraId="009C09BE">
      <w:pPr>
        <w:pStyle w:val="6"/>
        <w:rPr>
          <w:rFonts w:hint="default" w:ascii="Times New Roman" w:hAnsi="Times New Roman" w:cs="Times New Roman"/>
          <w:sz w:val="22"/>
          <w:szCs w:val="22"/>
        </w:rPr>
      </w:pPr>
      <w:bookmarkStart w:id="45" w:name="interactive-filters"/>
      <w:r>
        <w:rPr>
          <w:rFonts w:hint="default" w:ascii="Times New Roman" w:hAnsi="Times New Roman" w:cs="Times New Roman"/>
          <w:b/>
          <w:bCs/>
          <w:sz w:val="22"/>
          <w:szCs w:val="22"/>
        </w:rPr>
        <w:t>Interactive Filters</w:t>
      </w:r>
    </w:p>
    <w:p w14:paraId="766F7C35">
      <w:pPr>
        <w:pStyle w:val="23"/>
        <w:rPr>
          <w:rFonts w:hint="default" w:ascii="Times New Roman" w:hAnsi="Times New Roman" w:cs="Times New Roman"/>
          <w:sz w:val="22"/>
          <w:szCs w:val="22"/>
        </w:rPr>
      </w:pPr>
      <w:r>
        <w:rPr>
          <w:rFonts w:hint="default" w:ascii="Times New Roman" w:hAnsi="Times New Roman" w:cs="Times New Roman"/>
          <w:sz w:val="22"/>
          <w:szCs w:val="22"/>
        </w:rPr>
        <w:t>The dashboard empowers users to slice the data dynamically using:</w:t>
      </w:r>
    </w:p>
    <w:p w14:paraId="06613494">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Age Slider:</w:t>
      </w:r>
      <w:r>
        <w:rPr>
          <w:rFonts w:hint="default" w:ascii="Times New Roman" w:hAnsi="Times New Roman" w:cs="Times New Roman"/>
          <w:sz w:val="22"/>
          <w:szCs w:val="22"/>
        </w:rPr>
        <w:t xml:space="preserve"> Filters data for applicants aged </w:t>
      </w:r>
      <w:r>
        <w:rPr>
          <w:rFonts w:hint="default" w:ascii="Times New Roman" w:hAnsi="Times New Roman" w:cs="Times New Roman"/>
          <w:b/>
          <w:bCs/>
          <w:sz w:val="22"/>
          <w:szCs w:val="22"/>
        </w:rPr>
        <w:t>20 to 69</w:t>
      </w:r>
      <w:r>
        <w:rPr>
          <w:rFonts w:hint="default" w:ascii="Times New Roman" w:hAnsi="Times New Roman" w:cs="Times New Roman"/>
          <w:sz w:val="22"/>
          <w:szCs w:val="22"/>
        </w:rPr>
        <w:t>.</w:t>
      </w:r>
    </w:p>
    <w:p w14:paraId="696EA713">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Type:</w:t>
      </w:r>
      <w:r>
        <w:rPr>
          <w:rFonts w:hint="default" w:ascii="Times New Roman" w:hAnsi="Times New Roman" w:cs="Times New Roman"/>
          <w:sz w:val="22"/>
          <w:szCs w:val="22"/>
        </w:rPr>
        <w:t xml:space="preserve"> Toggles between </w:t>
      </w:r>
      <w:r>
        <w:rPr>
          <w:rFonts w:hint="default" w:ascii="Times New Roman" w:hAnsi="Times New Roman" w:cs="Times New Roman"/>
          <w:b/>
          <w:bCs/>
          <w:sz w:val="22"/>
          <w:szCs w:val="22"/>
        </w:rPr>
        <w:t>Cash Loans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Revolving Loans</w:t>
      </w:r>
      <w:r>
        <w:rPr>
          <w:rFonts w:hint="default" w:ascii="Times New Roman" w:hAnsi="Times New Roman" w:cs="Times New Roman"/>
          <w:sz w:val="22"/>
          <w:szCs w:val="22"/>
        </w:rPr>
        <w:t>.</w:t>
      </w:r>
    </w:p>
    <w:p w14:paraId="494220A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 Dropdowns:</w:t>
      </w:r>
      <w:r>
        <w:rPr>
          <w:rFonts w:hint="default" w:ascii="Times New Roman" w:hAnsi="Times New Roman" w:cs="Times New Roman"/>
          <w:sz w:val="22"/>
          <w:szCs w:val="22"/>
        </w:rPr>
        <w:t xml:space="preserve"> Allows filtering by </w:t>
      </w:r>
      <w:r>
        <w:rPr>
          <w:rFonts w:hint="default" w:ascii="Times New Roman" w:hAnsi="Times New Roman" w:cs="Times New Roman"/>
          <w:b/>
          <w:bCs/>
          <w:sz w:val="22"/>
          <w:szCs w:val="22"/>
        </w:rPr>
        <w:t>Application Type</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Income Type</w:t>
      </w:r>
      <w:r>
        <w:rPr>
          <w:rFonts w:hint="default" w:ascii="Times New Roman" w:hAnsi="Times New Roman" w:cs="Times New Roman"/>
          <w:sz w:val="22"/>
          <w:szCs w:val="22"/>
        </w:rPr>
        <w:t>.</w:t>
      </w:r>
    </w:p>
    <w:bookmarkEnd w:id="45"/>
    <w:p w14:paraId="7FFE1B1A">
      <w:pPr>
        <w:pStyle w:val="6"/>
        <w:rPr>
          <w:rFonts w:hint="default" w:ascii="Times New Roman" w:hAnsi="Times New Roman" w:cs="Times New Roman"/>
          <w:sz w:val="22"/>
          <w:szCs w:val="22"/>
        </w:rPr>
      </w:pPr>
      <w:bookmarkStart w:id="46" w:name="visual-insights--breakdowns"/>
      <w:r>
        <w:rPr>
          <w:rFonts w:hint="default" w:ascii="Times New Roman" w:hAnsi="Times New Roman" w:cs="Times New Roman"/>
          <w:b/>
          <w:bCs/>
          <w:sz w:val="22"/>
          <w:szCs w:val="22"/>
        </w:rPr>
        <w:t>Visual Insights &amp; Breakdowns</w:t>
      </w:r>
    </w:p>
    <w:p w14:paraId="2C94879D">
      <w:pPr>
        <w:numPr>
          <w:ilvl w:val="0"/>
          <w:numId w:val="4"/>
        </w:numPr>
        <w:rPr>
          <w:rFonts w:hint="default" w:ascii="Times New Roman" w:hAnsi="Times New Roman" w:cs="Times New Roman"/>
          <w:sz w:val="22"/>
          <w:szCs w:val="22"/>
        </w:rPr>
      </w:pPr>
      <w:r>
        <w:rPr>
          <w:rFonts w:hint="default" w:ascii="Times New Roman" w:hAnsi="Times New Roman" w:cs="Times New Roman"/>
          <w:b/>
          <w:bCs/>
          <w:sz w:val="22"/>
          <w:szCs w:val="22"/>
        </w:rPr>
        <w:t>Default Trend by Age (Line Chart):</w:t>
      </w:r>
    </w:p>
    <w:p w14:paraId="38A14BE9">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"Defaulted Application according to age of applicant"</w:t>
      </w:r>
    </w:p>
    <w:p w14:paraId="705D45DE">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There is a distinct spike in defaults among younger applicants (peaking around late 20s to early 30s). As applicants age beyond 40, the number of defaults steadily declines, corroborating the EDA finding that older applicants generally display higher credit stability.</w:t>
      </w:r>
    </w:p>
    <w:p w14:paraId="739C8C76">
      <w:pPr>
        <w:numPr>
          <w:ilvl w:val="0"/>
          <w:numId w:val="4"/>
        </w:numPr>
        <w:rPr>
          <w:rFonts w:hint="default" w:ascii="Times New Roman" w:hAnsi="Times New Roman" w:cs="Times New Roman"/>
          <w:sz w:val="22"/>
          <w:szCs w:val="22"/>
        </w:rPr>
      </w:pPr>
      <w:r>
        <w:rPr>
          <w:rFonts w:hint="default" w:ascii="Times New Roman" w:hAnsi="Times New Roman" w:cs="Times New Roman"/>
          <w:b/>
          <w:bCs/>
          <w:sz w:val="22"/>
          <w:szCs w:val="22"/>
        </w:rPr>
        <w:t>Defaults by Family Status (Bar Chart):</w:t>
      </w:r>
    </w:p>
    <w:p w14:paraId="10BC298F">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"No. of Default Applications from different Family type"</w:t>
      </w:r>
    </w:p>
    <w:p w14:paraId="59B6B44D">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Married</w:t>
      </w:r>
      <w:r>
        <w:rPr>
          <w:rFonts w:hint="default" w:ascii="Times New Roman" w:hAnsi="Times New Roman" w:cs="Times New Roman"/>
          <w:sz w:val="22"/>
          <w:szCs w:val="22"/>
        </w:rPr>
        <w:t xml:space="preserve"> applicants comprise the largest volume of defaults (</w:t>
      </w:r>
      <w:r>
        <w:rPr>
          <w:rFonts w:hint="default" w:ascii="Times New Roman" w:hAnsi="Times New Roman" w:cs="Times New Roman"/>
          <w:b/>
          <w:bCs/>
          <w:sz w:val="22"/>
          <w:szCs w:val="22"/>
        </w:rPr>
        <w:t>14.9K</w:t>
      </w:r>
      <w:r>
        <w:rPr>
          <w:rFonts w:hint="default" w:ascii="Times New Roman" w:hAnsi="Times New Roman" w:cs="Times New Roman"/>
          <w:sz w:val="22"/>
          <w:szCs w:val="22"/>
        </w:rPr>
        <w:t xml:space="preserve">), followed by </w:t>
      </w:r>
      <w:r>
        <w:rPr>
          <w:rFonts w:hint="default" w:ascii="Times New Roman" w:hAnsi="Times New Roman" w:cs="Times New Roman"/>
          <w:b/>
          <w:bCs/>
          <w:sz w:val="22"/>
          <w:szCs w:val="22"/>
        </w:rPr>
        <w:t>Single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4.5K</w:t>
      </w:r>
      <w:r>
        <w:rPr>
          <w:rFonts w:hint="default" w:ascii="Times New Roman" w:hAnsi="Times New Roman" w:cs="Times New Roman"/>
          <w:sz w:val="22"/>
          <w:szCs w:val="22"/>
        </w:rPr>
        <w:t xml:space="preserve">). </w:t>
      </w:r>
      <w:r>
        <w:rPr>
          <w:rFonts w:hint="default" w:ascii="Times New Roman" w:hAnsi="Times New Roman" w:cs="Times New Roman"/>
          <w:i/>
          <w:iCs/>
          <w:sz w:val="22"/>
          <w:szCs w:val="22"/>
        </w:rPr>
        <w:t>Note: While the volume is high for married individuals, this is likely driven by the fact that they make up the majority of the applicant pool.</w:t>
      </w:r>
    </w:p>
    <w:p w14:paraId="4884330A">
      <w:pPr>
        <w:numPr>
          <w:ilvl w:val="0"/>
          <w:numId w:val="4"/>
        </w:numPr>
        <w:rPr>
          <w:rFonts w:hint="default" w:ascii="Times New Roman" w:hAnsi="Times New Roman" w:cs="Times New Roman"/>
          <w:sz w:val="22"/>
          <w:szCs w:val="22"/>
        </w:rPr>
      </w:pPr>
      <w:r>
        <w:rPr>
          <w:rFonts w:hint="default" w:ascii="Times New Roman" w:hAnsi="Times New Roman" w:cs="Times New Roman"/>
          <w:b/>
          <w:bCs/>
          <w:sz w:val="22"/>
          <w:szCs w:val="22"/>
        </w:rPr>
        <w:t>Annuity Distribution by Gender (Pie Chart):</w:t>
      </w:r>
    </w:p>
    <w:p w14:paraId="00BA2849">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"Total Annuity Amount from different Genders"</w:t>
      </w:r>
    </w:p>
    <w:p w14:paraId="15A03CC1">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Females</w:t>
      </w:r>
      <w:r>
        <w:rPr>
          <w:rFonts w:hint="default" w:ascii="Times New Roman" w:hAnsi="Times New Roman" w:cs="Times New Roman"/>
          <w:sz w:val="22"/>
          <w:szCs w:val="22"/>
        </w:rPr>
        <w:t xml:space="preserve"> account for the majority of the total annuity amount (</w:t>
      </w:r>
      <w:r>
        <w:rPr>
          <w:rFonts w:hint="default" w:ascii="Times New Roman" w:hAnsi="Times New Roman" w:cs="Times New Roman"/>
          <w:b/>
          <w:bCs/>
          <w:sz w:val="22"/>
          <w:szCs w:val="22"/>
        </w:rPr>
        <w:t>59.53%</w:t>
      </w:r>
      <w:r>
        <w:rPr>
          <w:rFonts w:hint="default" w:ascii="Times New Roman" w:hAnsi="Times New Roman" w:cs="Times New Roman"/>
          <w:sz w:val="22"/>
          <w:szCs w:val="22"/>
        </w:rPr>
        <w:t xml:space="preserve"> or 4.96bn), compared to </w:t>
      </w:r>
      <w:r>
        <w:rPr>
          <w:rFonts w:hint="default" w:ascii="Times New Roman" w:hAnsi="Times New Roman" w:cs="Times New Roman"/>
          <w:b/>
          <w:bCs/>
          <w:sz w:val="22"/>
          <w:szCs w:val="22"/>
        </w:rPr>
        <w:t>Males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32.58%</w:t>
      </w:r>
      <w:r>
        <w:rPr>
          <w:rFonts w:hint="default" w:ascii="Times New Roman" w:hAnsi="Times New Roman" w:cs="Times New Roman"/>
          <w:sz w:val="22"/>
          <w:szCs w:val="22"/>
        </w:rPr>
        <w:t xml:space="preserve"> or 2.72bn). This aligns with the observation that females apply for loans more frequently than males.</w:t>
      </w:r>
    </w:p>
    <w:bookmarkEnd w:id="42"/>
    <w:bookmarkEnd w:id="46"/>
    <w:p w14:paraId="69F68722">
      <w:pPr>
        <w:pStyle w:val="5"/>
        <w:rPr>
          <w:rFonts w:hint="default" w:ascii="Times New Roman" w:hAnsi="Times New Roman" w:cs="Times New Roman"/>
          <w:sz w:val="24"/>
          <w:szCs w:val="24"/>
        </w:rPr>
      </w:pPr>
      <w:bookmarkStart w:id="47" w:name="Xee9844669576e65859f89d223bd21d3aca620cc"/>
      <w:r>
        <w:rPr>
          <w:rFonts w:hint="default" w:ascii="Times New Roman" w:hAnsi="Times New Roman" w:cs="Times New Roman"/>
          <w:b/>
          <w:bCs/>
          <w:sz w:val="24"/>
          <w:szCs w:val="24"/>
        </w:rPr>
        <w:t>2. Previous Applications Distribution Dashboard</w:t>
      </w:r>
    </w:p>
    <w:p w14:paraId="211A7891">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shifts focus from the current applicant profile to their </w:t>
      </w:r>
      <w:r>
        <w:rPr>
          <w:rFonts w:hint="default" w:ascii="Times New Roman" w:hAnsi="Times New Roman" w:cs="Times New Roman"/>
          <w:b/>
          <w:bCs/>
          <w:sz w:val="22"/>
          <w:szCs w:val="22"/>
        </w:rPr>
        <w:t>historical banking behavior</w:t>
      </w:r>
      <w:r>
        <w:rPr>
          <w:rFonts w:hint="default" w:ascii="Times New Roman" w:hAnsi="Times New Roman" w:cs="Times New Roman"/>
          <w:sz w:val="22"/>
          <w:szCs w:val="22"/>
        </w:rPr>
        <w:t>. By analyzing the 1.4 million previous application records, this view helps the credit team understand the relationship between a customer's past loyalty (frequency of borrowing) and their current risk profile.</w:t>
      </w:r>
    </w:p>
    <w:p w14:paraId="1C273C0F">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14345"/>
            <wp:effectExtent l="0" t="0" r="0" b="0"/>
            <wp:docPr id="126" name="Picture" descr="Previous Applications Distribu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Previous Applications Distribution Dashboard"/>
                    <pic:cNvPicPr>
                      <a:picLocks noChangeAspect="1" noChangeArrowheads="1"/>
                    </pic:cNvPicPr>
                  </pic:nvPicPr>
                  <pic:blipFill>
                    <a:blip r:embed="rId28"/>
                    <a:stretch>
                      <a:fillRect/>
                    </a:stretch>
                  </pic:blipFill>
                  <pic:spPr>
                    <a:xfrm>
                      <a:off x="0" y="0"/>
                      <a:ext cx="5334000" cy="3014869"/>
                    </a:xfrm>
                    <a:prstGeom prst="rect">
                      <a:avLst/>
                    </a:prstGeom>
                    <a:noFill/>
                    <a:ln w="9525">
                      <a:noFill/>
                    </a:ln>
                  </pic:spPr>
                </pic:pic>
              </a:graphicData>
            </a:graphic>
          </wp:inline>
        </w:drawing>
      </w:r>
    </w:p>
    <w:p w14:paraId="6D4273F3">
      <w:pPr>
        <w:pStyle w:val="6"/>
        <w:rPr>
          <w:rFonts w:hint="default" w:ascii="Times New Roman" w:hAnsi="Times New Roman" w:cs="Times New Roman"/>
          <w:sz w:val="22"/>
          <w:szCs w:val="22"/>
        </w:rPr>
      </w:pPr>
      <w:bookmarkStart w:id="48" w:name="X5499305985d8d61f5b2433970e8aa8a6ff2af1b"/>
      <w:r>
        <w:rPr>
          <w:rFonts w:hint="default" w:ascii="Times New Roman" w:hAnsi="Times New Roman" w:cs="Times New Roman"/>
          <w:b/>
          <w:bCs/>
          <w:sz w:val="22"/>
          <w:szCs w:val="22"/>
        </w:rPr>
        <w:t>Historical Volume &amp; Operational Metrics (KPIs)</w:t>
      </w:r>
    </w:p>
    <w:p w14:paraId="54057BBA">
      <w:pPr>
        <w:pStyle w:val="23"/>
        <w:rPr>
          <w:rFonts w:hint="default" w:ascii="Times New Roman" w:hAnsi="Times New Roman" w:cs="Times New Roman"/>
          <w:sz w:val="22"/>
          <w:szCs w:val="22"/>
        </w:rPr>
      </w:pPr>
      <w:r>
        <w:rPr>
          <w:rFonts w:hint="default" w:ascii="Times New Roman" w:hAnsi="Times New Roman" w:cs="Times New Roman"/>
          <w:sz w:val="22"/>
          <w:szCs w:val="22"/>
        </w:rPr>
        <w:t>The top header provides a summary of the operational scale and historical credit funnel:</w:t>
      </w:r>
    </w:p>
    <w:p w14:paraId="71E8D71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Processing Volume: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1.414M</w:t>
      </w:r>
      <w:r>
        <w:rPr>
          <w:rFonts w:hint="default" w:ascii="Times New Roman" w:hAnsi="Times New Roman" w:cs="Times New Roman"/>
          <w:sz w:val="22"/>
          <w:szCs w:val="22"/>
        </w:rPr>
        <w:t xml:space="preserve"> previous applications have been processed in total.</w:t>
      </w:r>
    </w:p>
    <w:p w14:paraId="180D374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Approval Volume: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886K</w:t>
      </w:r>
      <w:r>
        <w:rPr>
          <w:rFonts w:hint="default" w:ascii="Times New Roman" w:hAnsi="Times New Roman" w:cs="Times New Roman"/>
          <w:sz w:val="22"/>
          <w:szCs w:val="22"/>
        </w:rPr>
        <w:t xml:space="preserve"> of these applications were approved, indicating a historically active lending environment.</w:t>
      </w:r>
    </w:p>
    <w:p w14:paraId="166113A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Customer Base:</w:t>
      </w:r>
      <w:r>
        <w:rPr>
          <w:rFonts w:hint="default" w:ascii="Times New Roman" w:hAnsi="Times New Roman" w:cs="Times New Roman"/>
          <w:sz w:val="22"/>
          <w:szCs w:val="22"/>
        </w:rPr>
        <w:t xml:space="preserve"> These applications map back to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unique customers.</w:t>
      </w:r>
    </w:p>
    <w:p w14:paraId="4A005881">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Financial Average:</w:t>
      </w:r>
      <w:r>
        <w:rPr>
          <w:rFonts w:hint="default" w:ascii="Times New Roman" w:hAnsi="Times New Roman" w:cs="Times New Roman"/>
          <w:sz w:val="22"/>
          <w:szCs w:val="22"/>
        </w:rPr>
        <w:t xml:space="preserve"> The average total loan amount per person historically stands at </w:t>
      </w:r>
      <w:r>
        <w:rPr>
          <w:rFonts w:hint="default" w:ascii="Times New Roman" w:hAnsi="Times New Roman" w:cs="Times New Roman"/>
          <w:b/>
          <w:bCs/>
          <w:sz w:val="22"/>
          <w:szCs w:val="22"/>
        </w:rPr>
        <w:t>902.69K</w:t>
      </w:r>
      <w:r>
        <w:rPr>
          <w:rFonts w:hint="default" w:ascii="Times New Roman" w:hAnsi="Times New Roman" w:cs="Times New Roman"/>
          <w:sz w:val="22"/>
          <w:szCs w:val="22"/>
        </w:rPr>
        <w:t xml:space="preserve">, with an average downpayment ratio of </w:t>
      </w:r>
      <w:r>
        <w:rPr>
          <w:rFonts w:hint="default" w:ascii="Times New Roman" w:hAnsi="Times New Roman" w:cs="Times New Roman"/>
          <w:b/>
          <w:bCs/>
          <w:sz w:val="22"/>
          <w:szCs w:val="22"/>
        </w:rPr>
        <w:t>0.09</w:t>
      </w:r>
      <w:r>
        <w:rPr>
          <w:rFonts w:hint="default" w:ascii="Times New Roman" w:hAnsi="Times New Roman" w:cs="Times New Roman"/>
          <w:sz w:val="22"/>
          <w:szCs w:val="22"/>
        </w:rPr>
        <w:t xml:space="preserve"> (9%).</w:t>
      </w:r>
    </w:p>
    <w:bookmarkEnd w:id="48"/>
    <w:p w14:paraId="6191CE81">
      <w:pPr>
        <w:pStyle w:val="6"/>
        <w:rPr>
          <w:rFonts w:hint="default" w:ascii="Times New Roman" w:hAnsi="Times New Roman" w:cs="Times New Roman"/>
          <w:sz w:val="22"/>
          <w:szCs w:val="22"/>
        </w:rPr>
      </w:pPr>
      <w:bookmarkStart w:id="49" w:name="behavioral-ratios-gauge-indicators"/>
      <w:r>
        <w:rPr>
          <w:rFonts w:hint="default" w:ascii="Times New Roman" w:hAnsi="Times New Roman" w:cs="Times New Roman"/>
          <w:b/>
          <w:bCs/>
          <w:sz w:val="22"/>
          <w:szCs w:val="22"/>
        </w:rPr>
        <w:t>Behavioral Ratios (Gauge Indicators)</w:t>
      </w:r>
    </w:p>
    <w:p w14:paraId="5C06DEE1">
      <w:pPr>
        <w:pStyle w:val="23"/>
        <w:rPr>
          <w:rFonts w:hint="default" w:ascii="Times New Roman" w:hAnsi="Times New Roman" w:cs="Times New Roman"/>
          <w:sz w:val="22"/>
          <w:szCs w:val="22"/>
        </w:rPr>
      </w:pPr>
      <w:r>
        <w:rPr>
          <w:rFonts w:hint="default" w:ascii="Times New Roman" w:hAnsi="Times New Roman" w:cs="Times New Roman"/>
          <w:sz w:val="22"/>
          <w:szCs w:val="22"/>
        </w:rPr>
        <w:t>The second row visualizes the efficiency and nature of past lending:</w:t>
      </w:r>
    </w:p>
    <w:p w14:paraId="23E1C5D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Approval Rate (0.71):</w:t>
      </w:r>
      <w:r>
        <w:rPr>
          <w:rFonts w:hint="default" w:ascii="Times New Roman" w:hAnsi="Times New Roman" w:cs="Times New Roman"/>
          <w:sz w:val="22"/>
          <w:szCs w:val="22"/>
        </w:rPr>
        <w:t xml:space="preserve"> Approximately 71% of past applications were approved, suggesting a moderately lenient historical approval policy.</w:t>
      </w:r>
    </w:p>
    <w:p w14:paraId="1BC4729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Risk Ratio (0.08):</w:t>
      </w:r>
      <w:r>
        <w:rPr>
          <w:rFonts w:hint="default" w:ascii="Times New Roman" w:hAnsi="Times New Roman" w:cs="Times New Roman"/>
          <w:sz w:val="22"/>
          <w:szCs w:val="22"/>
        </w:rPr>
        <w:t xml:space="preserve"> Consistent with the main overview, the historical risk ratio hovers at 8%.</w:t>
      </w:r>
    </w:p>
    <w:p w14:paraId="67F3543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Loan Duration (13.73 months):</w:t>
      </w:r>
      <w:r>
        <w:rPr>
          <w:rFonts w:hint="default" w:ascii="Times New Roman" w:hAnsi="Times New Roman" w:cs="Times New Roman"/>
          <w:sz w:val="22"/>
          <w:szCs w:val="22"/>
        </w:rPr>
        <w:t xml:space="preserve"> Most historical loans were short-term, averaging just over 1 year.</w:t>
      </w:r>
    </w:p>
    <w:p w14:paraId="091218AF">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Consumer Loans Ratio (0.55):</w:t>
      </w:r>
      <w:r>
        <w:rPr>
          <w:rFonts w:hint="default" w:ascii="Times New Roman" w:hAnsi="Times New Roman" w:cs="Times New Roman"/>
          <w:sz w:val="22"/>
          <w:szCs w:val="22"/>
        </w:rPr>
        <w:t xml:space="preserve"> Over half (55%) of past lending activity was driven by consumer loans rather than cash loans.</w:t>
      </w:r>
    </w:p>
    <w:bookmarkEnd w:id="49"/>
    <w:p w14:paraId="084AC832">
      <w:pPr>
        <w:pStyle w:val="6"/>
        <w:rPr>
          <w:rFonts w:hint="default" w:ascii="Times New Roman" w:hAnsi="Times New Roman" w:cs="Times New Roman"/>
          <w:sz w:val="22"/>
          <w:szCs w:val="22"/>
        </w:rPr>
      </w:pPr>
      <w:bookmarkStart w:id="50" w:name="X1d1bbdb2136672a60d98d8237ae9408ddddd624"/>
      <w:r>
        <w:rPr>
          <w:rFonts w:hint="default" w:ascii="Times New Roman" w:hAnsi="Times New Roman" w:cs="Times New Roman"/>
          <w:b/>
          <w:bCs/>
          <w:sz w:val="22"/>
          <w:szCs w:val="22"/>
        </w:rPr>
        <w:t>Key Visual Insight: The "Loyalty vs. Risk" Curve</w:t>
      </w:r>
    </w:p>
    <w:p w14:paraId="624FFB3A">
      <w:pPr>
        <w:pStyle w:val="23"/>
        <w:rPr>
          <w:rFonts w:hint="default" w:ascii="Times New Roman" w:hAnsi="Times New Roman" w:cs="Times New Roman"/>
          <w:sz w:val="22"/>
          <w:szCs w:val="22"/>
        </w:rPr>
      </w:pPr>
      <w:r>
        <w:rPr>
          <w:rFonts w:hint="default" w:ascii="Times New Roman" w:hAnsi="Times New Roman" w:cs="Times New Roman"/>
          <w:b/>
          <w:bCs/>
          <w:sz w:val="22"/>
          <w:szCs w:val="22"/>
        </w:rPr>
        <w:t>Chart: Risk Ratio with Previous Applications Approved</w:t>
      </w:r>
      <w:r>
        <w:rPr>
          <w:rFonts w:hint="default" w:ascii="Times New Roman" w:hAnsi="Times New Roman" w:cs="Times New Roman"/>
          <w:sz w:val="22"/>
          <w:szCs w:val="22"/>
        </w:rPr>
        <w:t xml:space="preserve"> This combination chart is the centerpiece of the historical analysis, plotting </w:t>
      </w:r>
      <w:r>
        <w:rPr>
          <w:rFonts w:hint="default" w:ascii="Times New Roman" w:hAnsi="Times New Roman" w:cs="Times New Roman"/>
          <w:b/>
          <w:bCs/>
          <w:sz w:val="22"/>
          <w:szCs w:val="22"/>
        </w:rPr>
        <w:t>"Applications Approved"</w:t>
      </w:r>
      <w:r>
        <w:rPr>
          <w:rFonts w:hint="default" w:ascii="Times New Roman" w:hAnsi="Times New Roman" w:cs="Times New Roman"/>
          <w:sz w:val="22"/>
          <w:szCs w:val="22"/>
        </w:rPr>
        <w:t xml:space="preserve"> (X-axis) against </w:t>
      </w:r>
      <w:r>
        <w:rPr>
          <w:rFonts w:hint="default" w:ascii="Times New Roman" w:hAnsi="Times New Roman" w:cs="Times New Roman"/>
          <w:b/>
          <w:bCs/>
          <w:sz w:val="22"/>
          <w:szCs w:val="22"/>
        </w:rPr>
        <w:t>"Total Loan Amount"</w:t>
      </w:r>
      <w:r>
        <w:rPr>
          <w:rFonts w:hint="default" w:ascii="Times New Roman" w:hAnsi="Times New Roman" w:cs="Times New Roman"/>
          <w:sz w:val="22"/>
          <w:szCs w:val="22"/>
        </w:rPr>
        <w:t xml:space="preserve"> (Bars) and </w:t>
      </w:r>
      <w:r>
        <w:rPr>
          <w:rFonts w:hint="default" w:ascii="Times New Roman" w:hAnsi="Times New Roman" w:cs="Times New Roman"/>
          <w:b/>
          <w:bCs/>
          <w:sz w:val="22"/>
          <w:szCs w:val="22"/>
        </w:rPr>
        <w:t>"Risk Ratio"</w:t>
      </w:r>
      <w:r>
        <w:rPr>
          <w:rFonts w:hint="default" w:ascii="Times New Roman" w:hAnsi="Times New Roman" w:cs="Times New Roman"/>
          <w:sz w:val="22"/>
          <w:szCs w:val="22"/>
        </w:rPr>
        <w:t xml:space="preserve"> (Line).</w:t>
      </w:r>
    </w:p>
    <w:p w14:paraId="20EE4E2D">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Amount Trend (Bars):</w:t>
      </w:r>
      <w:r>
        <w:rPr>
          <w:rFonts w:hint="default" w:ascii="Times New Roman" w:hAnsi="Times New Roman" w:cs="Times New Roman"/>
          <w:sz w:val="22"/>
          <w:szCs w:val="22"/>
        </w:rPr>
        <w:t xml:space="preserve"> There is a clear positive correlation between approval frequency and loan size. Customers with more approved applications (moving right on the X-axis) consistently secure higher total loan amounts, peaking near the 20-approval mark.</w:t>
      </w:r>
    </w:p>
    <w:p w14:paraId="5077094D">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Trend (Line):</w:t>
      </w:r>
      <w:r>
        <w:rPr>
          <w:rFonts w:hint="default" w:ascii="Times New Roman" w:hAnsi="Times New Roman" w:cs="Times New Roman"/>
          <w:sz w:val="22"/>
          <w:szCs w:val="22"/>
        </w:rPr>
        <w:t xml:space="preserve"> The risk ratio (dark blue line) remains relatively stable between </w:t>
      </w:r>
      <w:r>
        <w:rPr>
          <w:rFonts w:hint="default" w:ascii="Times New Roman" w:hAnsi="Times New Roman" w:cs="Times New Roman"/>
          <w:b/>
          <w:bCs/>
          <w:sz w:val="22"/>
          <w:szCs w:val="22"/>
        </w:rPr>
        <w:t>6% and 8%</w:t>
      </w:r>
      <w:r>
        <w:rPr>
          <w:rFonts w:hint="default" w:ascii="Times New Roman" w:hAnsi="Times New Roman" w:cs="Times New Roman"/>
          <w:sz w:val="22"/>
          <w:szCs w:val="22"/>
        </w:rPr>
        <w:t xml:space="preserve"> for customers with 1–15 past approvals. However, it shows volatility and a sharp decline for "super-borrowers" (20+ approvals), potentially indicating that highly frequent borrowers are either very safe or represent a distinct outlier segment.</w:t>
      </w:r>
    </w:p>
    <w:bookmarkEnd w:id="50"/>
    <w:p w14:paraId="31E3516A">
      <w:pPr>
        <w:pStyle w:val="6"/>
        <w:rPr>
          <w:rFonts w:hint="default" w:ascii="Times New Roman" w:hAnsi="Times New Roman" w:cs="Times New Roman"/>
          <w:sz w:val="22"/>
          <w:szCs w:val="22"/>
        </w:rPr>
      </w:pPr>
      <w:bookmarkStart w:id="51" w:name="interactive-filters-1"/>
      <w:r>
        <w:rPr>
          <w:rFonts w:hint="default" w:ascii="Times New Roman" w:hAnsi="Times New Roman" w:cs="Times New Roman"/>
          <w:b/>
          <w:bCs/>
          <w:sz w:val="22"/>
          <w:szCs w:val="22"/>
        </w:rPr>
        <w:t>Interactive Filters</w:t>
      </w:r>
    </w:p>
    <w:p w14:paraId="5EBDF7C0">
      <w:pPr>
        <w:pStyle w:val="23"/>
        <w:rPr>
          <w:rFonts w:hint="default" w:ascii="Times New Roman" w:hAnsi="Times New Roman" w:cs="Times New Roman"/>
          <w:sz w:val="22"/>
          <w:szCs w:val="22"/>
        </w:rPr>
      </w:pPr>
      <w:r>
        <w:rPr>
          <w:rFonts w:hint="default" w:ascii="Times New Roman" w:hAnsi="Times New Roman" w:cs="Times New Roman"/>
          <w:sz w:val="22"/>
          <w:szCs w:val="22"/>
        </w:rPr>
        <w:t>This page allows for deep-diving into specific risk cohorts using:</w:t>
      </w:r>
    </w:p>
    <w:p w14:paraId="0F8DB853">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Current Application Category:</w:t>
      </w:r>
      <w:r>
        <w:rPr>
          <w:rFonts w:hint="default" w:ascii="Times New Roman" w:hAnsi="Times New Roman" w:cs="Times New Roman"/>
          <w:sz w:val="22"/>
          <w:szCs w:val="22"/>
        </w:rPr>
        <w:t xml:space="preserve"> Toggle between </w:t>
      </w:r>
      <w:r>
        <w:rPr>
          <w:rFonts w:hint="default" w:ascii="Times New Roman" w:hAnsi="Times New Roman" w:cs="Times New Roman"/>
          <w:b/>
          <w:bCs/>
          <w:sz w:val="22"/>
          <w:szCs w:val="22"/>
        </w:rPr>
        <w:t>Defaulted</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Not Defaulted</w:t>
      </w:r>
      <w:r>
        <w:rPr>
          <w:rFonts w:hint="default" w:ascii="Times New Roman" w:hAnsi="Times New Roman" w:cs="Times New Roman"/>
          <w:sz w:val="22"/>
          <w:szCs w:val="22"/>
        </w:rPr>
        <w:t xml:space="preserve"> to see if past history differs for current defaulters.</w:t>
      </w:r>
    </w:p>
    <w:p w14:paraId="29C5DBB6">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Approval Frequency Slider:</w:t>
      </w:r>
      <w:r>
        <w:rPr>
          <w:rFonts w:hint="default" w:ascii="Times New Roman" w:hAnsi="Times New Roman" w:cs="Times New Roman"/>
          <w:sz w:val="22"/>
          <w:szCs w:val="22"/>
        </w:rPr>
        <w:t xml:space="preserve"> Filter for customers with a specific range of past approvals (e.g., 0 to 27).</w:t>
      </w:r>
    </w:p>
    <w:p w14:paraId="28735BB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Demographics:</w:t>
      </w:r>
      <w:r>
        <w:rPr>
          <w:rFonts w:hint="default" w:ascii="Times New Roman" w:hAnsi="Times New Roman" w:cs="Times New Roman"/>
          <w:sz w:val="22"/>
          <w:szCs w:val="22"/>
        </w:rPr>
        <w:t xml:space="preserve"> Filters for </w:t>
      </w:r>
      <w:r>
        <w:rPr>
          <w:rFonts w:hint="default" w:ascii="Times New Roman" w:hAnsi="Times New Roman" w:cs="Times New Roman"/>
          <w:b/>
          <w:bCs/>
          <w:sz w:val="22"/>
          <w:szCs w:val="22"/>
        </w:rPr>
        <w:t>Gender</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Age</w:t>
      </w:r>
      <w:r>
        <w:rPr>
          <w:rFonts w:hint="default" w:ascii="Times New Roman" w:hAnsi="Times New Roman" w:cs="Times New Roman"/>
          <w:sz w:val="22"/>
          <w:szCs w:val="22"/>
        </w:rPr>
        <w:t xml:space="preserve"> allow for segmentation of historical trends.</w:t>
      </w:r>
    </w:p>
    <w:bookmarkEnd w:id="47"/>
    <w:bookmarkEnd w:id="51"/>
    <w:p w14:paraId="1C15F078">
      <w:pPr>
        <w:pStyle w:val="5"/>
        <w:rPr>
          <w:rFonts w:hint="default" w:ascii="Times New Roman" w:hAnsi="Times New Roman" w:cs="Times New Roman"/>
          <w:sz w:val="24"/>
          <w:szCs w:val="24"/>
        </w:rPr>
      </w:pPr>
      <w:bookmarkStart w:id="52" w:name="Xd7464b8a08c1e4a31971905964178de8950e717"/>
      <w:r>
        <w:rPr>
          <w:rFonts w:hint="default" w:ascii="Times New Roman" w:hAnsi="Times New Roman" w:cs="Times New Roman"/>
          <w:b/>
          <w:bCs/>
          <w:sz w:val="24"/>
          <w:szCs w:val="24"/>
        </w:rPr>
        <w:t>3. Current Applications Distribution Dashboard</w:t>
      </w:r>
    </w:p>
    <w:p w14:paraId="27CEEB13">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focuses on the </w:t>
      </w:r>
      <w:r>
        <w:rPr>
          <w:rFonts w:hint="default" w:ascii="Times New Roman" w:hAnsi="Times New Roman" w:cs="Times New Roman"/>
          <w:b/>
          <w:bCs/>
          <w:sz w:val="22"/>
          <w:szCs w:val="22"/>
        </w:rPr>
        <w:t>sociodemographic profile</w:t>
      </w:r>
      <w:r>
        <w:rPr>
          <w:rFonts w:hint="default" w:ascii="Times New Roman" w:hAnsi="Times New Roman" w:cs="Times New Roman"/>
          <w:sz w:val="22"/>
          <w:szCs w:val="22"/>
        </w:rPr>
        <w:t xml:space="preserve"> of the current applicant pool. Unlike the risk-centric views, this page is descriptive, helping the business understand </w:t>
      </w:r>
      <w:r>
        <w:rPr>
          <w:rFonts w:hint="default" w:ascii="Times New Roman" w:hAnsi="Times New Roman" w:cs="Times New Roman"/>
          <w:i/>
          <w:iCs/>
          <w:sz w:val="22"/>
          <w:szCs w:val="22"/>
        </w:rPr>
        <w:t>who</w:t>
      </w:r>
      <w:r>
        <w:rPr>
          <w:rFonts w:hint="default" w:ascii="Times New Roman" w:hAnsi="Times New Roman" w:cs="Times New Roman"/>
          <w:sz w:val="22"/>
          <w:szCs w:val="22"/>
        </w:rPr>
        <w:t xml:space="preserve"> is applying for loans. It analyzes the distribution of applicants across gender, family status, asset ownership, and employment sectors.</w:t>
      </w:r>
    </w:p>
    <w:p w14:paraId="41271772">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36570"/>
            <wp:effectExtent l="0" t="0" r="0" b="0"/>
            <wp:docPr id="134" name="Picture" descr=" Current Applications Distribu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 Current Applications Distribution Dashboard"/>
                    <pic:cNvPicPr>
                      <a:picLocks noChangeAspect="1" noChangeArrowheads="1"/>
                    </pic:cNvPicPr>
                  </pic:nvPicPr>
                  <pic:blipFill>
                    <a:blip r:embed="rId29"/>
                    <a:stretch>
                      <a:fillRect/>
                    </a:stretch>
                  </pic:blipFill>
                  <pic:spPr>
                    <a:xfrm>
                      <a:off x="0" y="0"/>
                      <a:ext cx="5334000" cy="3036842"/>
                    </a:xfrm>
                    <a:prstGeom prst="rect">
                      <a:avLst/>
                    </a:prstGeom>
                    <a:noFill/>
                    <a:ln w="9525">
                      <a:noFill/>
                    </a:ln>
                  </pic:spPr>
                </pic:pic>
              </a:graphicData>
            </a:graphic>
          </wp:inline>
        </w:drawing>
      </w:r>
    </w:p>
    <w:p w14:paraId="2533361F">
      <w:pPr>
        <w:pStyle w:val="6"/>
        <w:rPr>
          <w:rFonts w:hint="default" w:ascii="Times New Roman" w:hAnsi="Times New Roman" w:cs="Times New Roman"/>
          <w:sz w:val="22"/>
          <w:szCs w:val="22"/>
        </w:rPr>
      </w:pPr>
      <w:bookmarkStart w:id="53" w:name="key-portfolio-volume"/>
      <w:r>
        <w:rPr>
          <w:rFonts w:hint="default" w:ascii="Times New Roman" w:hAnsi="Times New Roman" w:cs="Times New Roman"/>
          <w:b/>
          <w:bCs/>
          <w:sz w:val="22"/>
          <w:szCs w:val="22"/>
        </w:rPr>
        <w:t>Key Portfolio Volume</w:t>
      </w:r>
    </w:p>
    <w:p w14:paraId="187B0E3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unique applications are profiled here.</w:t>
      </w:r>
    </w:p>
    <w:p w14:paraId="3C703461">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Context:</w:t>
      </w:r>
      <w:r>
        <w:rPr>
          <w:rFonts w:hint="default" w:ascii="Times New Roman" w:hAnsi="Times New Roman" w:cs="Times New Roman"/>
          <w:sz w:val="22"/>
          <w:szCs w:val="22"/>
        </w:rPr>
        <w:t xml:space="preserve"> Of these, </w:t>
      </w:r>
      <w:r>
        <w:rPr>
          <w:rFonts w:hint="default" w:ascii="Times New Roman" w:hAnsi="Times New Roman" w:cs="Times New Roman"/>
          <w:b/>
          <w:bCs/>
          <w:sz w:val="22"/>
          <w:szCs w:val="22"/>
        </w:rPr>
        <w:t>25K</w:t>
      </w:r>
      <w:r>
        <w:rPr>
          <w:rFonts w:hint="default" w:ascii="Times New Roman" w:hAnsi="Times New Roman" w:cs="Times New Roman"/>
          <w:sz w:val="22"/>
          <w:szCs w:val="22"/>
        </w:rPr>
        <w:t xml:space="preserve"> are flagged as risk-associated, keeping the consistent 8% baseline visible for reference.</w:t>
      </w:r>
    </w:p>
    <w:bookmarkEnd w:id="53"/>
    <w:p w14:paraId="4D7C36EF">
      <w:pPr>
        <w:pStyle w:val="6"/>
        <w:rPr>
          <w:rFonts w:hint="default" w:ascii="Times New Roman" w:hAnsi="Times New Roman" w:cs="Times New Roman"/>
          <w:sz w:val="22"/>
          <w:szCs w:val="22"/>
        </w:rPr>
      </w:pPr>
      <w:bookmarkStart w:id="54" w:name="X3a5acad2555f55c7a434d1e8bd54daad1694827"/>
      <w:r>
        <w:rPr>
          <w:rFonts w:hint="default" w:ascii="Times New Roman" w:hAnsi="Times New Roman" w:cs="Times New Roman"/>
          <w:b/>
          <w:bCs/>
          <w:sz w:val="22"/>
          <w:szCs w:val="22"/>
        </w:rPr>
        <w:t>1. Gender &amp; Asset Ownership</w:t>
      </w:r>
    </w:p>
    <w:p w14:paraId="67452311">
      <w:pPr>
        <w:pStyle w:val="23"/>
        <w:rPr>
          <w:rFonts w:hint="default" w:ascii="Times New Roman" w:hAnsi="Times New Roman" w:cs="Times New Roman"/>
          <w:sz w:val="22"/>
          <w:szCs w:val="22"/>
        </w:rPr>
      </w:pPr>
      <w:r>
        <w:rPr>
          <w:rFonts w:hint="default" w:ascii="Times New Roman" w:hAnsi="Times New Roman" w:cs="Times New Roman"/>
          <w:sz w:val="22"/>
          <w:szCs w:val="22"/>
        </w:rPr>
        <w:t>These visualizations highlight the gender imbalance and asset liquidity of the portfolio:</w:t>
      </w:r>
    </w:p>
    <w:p w14:paraId="25607FD3">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Gender Split:</w:t>
      </w:r>
      <w:r>
        <w:rPr>
          <w:rFonts w:hint="default" w:ascii="Times New Roman" w:hAnsi="Times New Roman" w:cs="Times New Roman"/>
          <w:sz w:val="22"/>
          <w:szCs w:val="22"/>
        </w:rPr>
        <w:t xml:space="preserve"> The portfolio is predominantly female. </w:t>
      </w:r>
      <w:r>
        <w:rPr>
          <w:rFonts w:hint="default" w:ascii="Times New Roman" w:hAnsi="Times New Roman" w:cs="Times New Roman"/>
          <w:b/>
          <w:bCs/>
          <w:sz w:val="22"/>
          <w:szCs w:val="22"/>
        </w:rPr>
        <w:t>Female applicants</w:t>
      </w:r>
      <w:r>
        <w:rPr>
          <w:rFonts w:hint="default" w:ascii="Times New Roman" w:hAnsi="Times New Roman" w:cs="Times New Roman"/>
          <w:sz w:val="22"/>
          <w:szCs w:val="22"/>
        </w:rPr>
        <w:t xml:space="preserve"> account for </w:t>
      </w:r>
      <w:r>
        <w:rPr>
          <w:rFonts w:hint="default" w:ascii="Times New Roman" w:hAnsi="Times New Roman" w:cs="Times New Roman"/>
          <w:b/>
          <w:bCs/>
          <w:sz w:val="22"/>
          <w:szCs w:val="22"/>
        </w:rPr>
        <w:t>65.84%</w:t>
      </w:r>
      <w:r>
        <w:rPr>
          <w:rFonts w:hint="default" w:ascii="Times New Roman" w:hAnsi="Times New Roman" w:cs="Times New Roman"/>
          <w:sz w:val="22"/>
          <w:szCs w:val="22"/>
        </w:rPr>
        <w:t xml:space="preserve"> (202.45K) of the volume, while males account for </w:t>
      </w:r>
      <w:r>
        <w:rPr>
          <w:rFonts w:hint="default" w:ascii="Times New Roman" w:hAnsi="Times New Roman" w:cs="Times New Roman"/>
          <w:b/>
          <w:bCs/>
          <w:sz w:val="22"/>
          <w:szCs w:val="22"/>
        </w:rPr>
        <w:t>34.16%</w:t>
      </w:r>
      <w:r>
        <w:rPr>
          <w:rFonts w:hint="default" w:ascii="Times New Roman" w:hAnsi="Times New Roman" w:cs="Times New Roman"/>
          <w:sz w:val="22"/>
          <w:szCs w:val="22"/>
        </w:rPr>
        <w:t xml:space="preserve"> (105.06K).</w:t>
      </w:r>
    </w:p>
    <w:p w14:paraId="46E3D79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Real Estate:</w:t>
      </w:r>
      <w:r>
        <w:rPr>
          <w:rFonts w:hint="default" w:ascii="Times New Roman" w:hAnsi="Times New Roman" w:cs="Times New Roman"/>
          <w:sz w:val="22"/>
          <w:szCs w:val="22"/>
        </w:rPr>
        <w:t xml:space="preserve"> A significant majority, </w:t>
      </w:r>
      <w:r>
        <w:rPr>
          <w:rFonts w:hint="default" w:ascii="Times New Roman" w:hAnsi="Times New Roman" w:cs="Times New Roman"/>
          <w:b/>
          <w:bCs/>
          <w:sz w:val="22"/>
          <w:szCs w:val="22"/>
        </w:rPr>
        <w:t>69.37%</w:t>
      </w:r>
      <w:r>
        <w:rPr>
          <w:rFonts w:hint="default" w:ascii="Times New Roman" w:hAnsi="Times New Roman" w:cs="Times New Roman"/>
          <w:sz w:val="22"/>
          <w:szCs w:val="22"/>
        </w:rPr>
        <w:t xml:space="preserve"> (213.31K), own their own home or realty, suggesting a base level of asset stability for most applicants.</w:t>
      </w:r>
    </w:p>
    <w:p w14:paraId="4E0E5AA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Vehicle Ownership:</w:t>
      </w:r>
      <w:r>
        <w:rPr>
          <w:rFonts w:hint="default" w:ascii="Times New Roman" w:hAnsi="Times New Roman" w:cs="Times New Roman"/>
          <w:sz w:val="22"/>
          <w:szCs w:val="22"/>
        </w:rPr>
        <w:t xml:space="preserve"> In contrast to housing, car ownership is lower. </w:t>
      </w:r>
      <w:r>
        <w:rPr>
          <w:rFonts w:hint="default" w:ascii="Times New Roman" w:hAnsi="Times New Roman" w:cs="Times New Roman"/>
          <w:b/>
          <w:bCs/>
          <w:sz w:val="22"/>
          <w:szCs w:val="22"/>
        </w:rPr>
        <w:t>65.99%</w:t>
      </w:r>
      <w:r>
        <w:rPr>
          <w:rFonts w:hint="default" w:ascii="Times New Roman" w:hAnsi="Times New Roman" w:cs="Times New Roman"/>
          <w:sz w:val="22"/>
          <w:szCs w:val="22"/>
        </w:rPr>
        <w:t xml:space="preserve"> of applicants do </w:t>
      </w:r>
      <w:r>
        <w:rPr>
          <w:rFonts w:hint="default" w:ascii="Times New Roman" w:hAnsi="Times New Roman" w:cs="Times New Roman"/>
          <w:i/>
          <w:iCs/>
          <w:sz w:val="22"/>
          <w:szCs w:val="22"/>
        </w:rPr>
        <w:t>not</w:t>
      </w:r>
      <w:r>
        <w:rPr>
          <w:rFonts w:hint="default" w:ascii="Times New Roman" w:hAnsi="Times New Roman" w:cs="Times New Roman"/>
          <w:sz w:val="22"/>
          <w:szCs w:val="22"/>
        </w:rPr>
        <w:t xml:space="preserve"> own a car, which may correlate with the high volume of applications from lower-to-middle income segments.</w:t>
      </w:r>
    </w:p>
    <w:bookmarkEnd w:id="54"/>
    <w:p w14:paraId="04B2F549">
      <w:pPr>
        <w:pStyle w:val="6"/>
        <w:rPr>
          <w:rFonts w:hint="default" w:ascii="Times New Roman" w:hAnsi="Times New Roman" w:cs="Times New Roman"/>
          <w:sz w:val="22"/>
          <w:szCs w:val="22"/>
        </w:rPr>
      </w:pPr>
      <w:bookmarkStart w:id="55" w:name="X5dacae636ef60c9b9946d687c0cabad9370ed0f"/>
      <w:r>
        <w:rPr>
          <w:rFonts w:hint="default" w:ascii="Times New Roman" w:hAnsi="Times New Roman" w:cs="Times New Roman"/>
          <w:b/>
          <w:bCs/>
          <w:sz w:val="22"/>
          <w:szCs w:val="22"/>
        </w:rPr>
        <w:t>2. Family &amp; Social Structure</w:t>
      </w:r>
    </w:p>
    <w:p w14:paraId="15C37FF6">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Family Status: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Married</w:t>
      </w:r>
      <w:r>
        <w:rPr>
          <w:rFonts w:hint="default" w:ascii="Times New Roman" w:hAnsi="Times New Roman" w:cs="Times New Roman"/>
          <w:sz w:val="22"/>
          <w:szCs w:val="22"/>
        </w:rPr>
        <w:t xml:space="preserve"> individuals form the overwhelming majority of applicants, representing </w:t>
      </w:r>
      <w:r>
        <w:rPr>
          <w:rFonts w:hint="default" w:ascii="Times New Roman" w:hAnsi="Times New Roman" w:cs="Times New Roman"/>
          <w:b/>
          <w:bCs/>
          <w:sz w:val="22"/>
          <w:szCs w:val="22"/>
        </w:rPr>
        <w:t>63.81%</w:t>
      </w:r>
      <w:r>
        <w:rPr>
          <w:rFonts w:hint="default" w:ascii="Times New Roman" w:hAnsi="Times New Roman" w:cs="Times New Roman"/>
          <w:sz w:val="22"/>
          <w:szCs w:val="22"/>
        </w:rPr>
        <w:t xml:space="preserve"> of the total. Single applicants follow at </w:t>
      </w:r>
      <w:r>
        <w:rPr>
          <w:rFonts w:hint="default" w:ascii="Times New Roman" w:hAnsi="Times New Roman" w:cs="Times New Roman"/>
          <w:b/>
          <w:bCs/>
          <w:sz w:val="22"/>
          <w:szCs w:val="22"/>
        </w:rPr>
        <w:t>14.82%</w:t>
      </w:r>
      <w:r>
        <w:rPr>
          <w:rFonts w:hint="default" w:ascii="Times New Roman" w:hAnsi="Times New Roman" w:cs="Times New Roman"/>
          <w:sz w:val="22"/>
          <w:szCs w:val="22"/>
        </w:rPr>
        <w:t>, with Civil Marriage (9.69%), Separated, and Widows making up the remainder.</w:t>
      </w:r>
    </w:p>
    <w:p w14:paraId="5A19EDD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 Source:</w:t>
      </w:r>
      <w:r>
        <w:rPr>
          <w:rFonts w:hint="default" w:ascii="Times New Roman" w:hAnsi="Times New Roman" w:cs="Times New Roman"/>
          <w:sz w:val="22"/>
          <w:szCs w:val="22"/>
        </w:rPr>
        <w:t xml:space="preserve"> The "Working" class (blue collar/general workforce) submits the highest volume of applications (~0.16M), followed by "Commercial" associates (~0.07M) and Pensioners (~0.06M).</w:t>
      </w:r>
    </w:p>
    <w:bookmarkEnd w:id="55"/>
    <w:p w14:paraId="504C44CE">
      <w:pPr>
        <w:pStyle w:val="6"/>
        <w:rPr>
          <w:rFonts w:hint="default" w:ascii="Times New Roman" w:hAnsi="Times New Roman" w:cs="Times New Roman"/>
          <w:sz w:val="22"/>
          <w:szCs w:val="22"/>
        </w:rPr>
      </w:pPr>
      <w:bookmarkStart w:id="56" w:name="Xbdf836572ddd99159d854a1abece60cd585fdb6"/>
      <w:r>
        <w:rPr>
          <w:rFonts w:hint="default" w:ascii="Times New Roman" w:hAnsi="Times New Roman" w:cs="Times New Roman"/>
          <w:b/>
          <w:bCs/>
          <w:sz w:val="22"/>
          <w:szCs w:val="22"/>
        </w:rPr>
        <w:t>3. Economic &amp; Geographic Distribution</w:t>
      </w:r>
    </w:p>
    <w:p w14:paraId="736FA4B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City Population Density:</w:t>
      </w:r>
      <w:r>
        <w:rPr>
          <w:rFonts w:hint="default" w:ascii="Times New Roman" w:hAnsi="Times New Roman" w:cs="Times New Roman"/>
          <w:sz w:val="22"/>
          <w:szCs w:val="22"/>
        </w:rPr>
        <w:t xml:space="preserve"> The application volume is remarkably balanced across different living environments. High, Medium, Low, and Very Low population density regions each contribute roughly </w:t>
      </w:r>
      <w:r>
        <w:rPr>
          <w:rFonts w:hint="default" w:ascii="Times New Roman" w:hAnsi="Times New Roman" w:cs="Times New Roman"/>
          <w:b/>
          <w:bCs/>
          <w:sz w:val="22"/>
          <w:szCs w:val="22"/>
        </w:rPr>
        <w:t>25%</w:t>
      </w:r>
      <w:r>
        <w:rPr>
          <w:rFonts w:hint="default" w:ascii="Times New Roman" w:hAnsi="Times New Roman" w:cs="Times New Roman"/>
          <w:sz w:val="22"/>
          <w:szCs w:val="22"/>
        </w:rPr>
        <w:t xml:space="preserve"> of the total volume, indicating the lender has a consistent market penetration across both urban and rural settings.</w:t>
      </w:r>
    </w:p>
    <w:p w14:paraId="1EAA2D9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Annuity by Occupation:</w:t>
      </w:r>
      <w:r>
        <w:rPr>
          <w:rFonts w:hint="default" w:ascii="Times New Roman" w:hAnsi="Times New Roman" w:cs="Times New Roman"/>
          <w:sz w:val="22"/>
          <w:szCs w:val="22"/>
        </w:rPr>
        <w:t xml:space="preserve"> This bar chart reveals financial capacity by job type. </w:t>
      </w:r>
      <w:r>
        <w:rPr>
          <w:rFonts w:hint="default" w:ascii="Times New Roman" w:hAnsi="Times New Roman" w:cs="Times New Roman"/>
          <w:b/>
          <w:bCs/>
          <w:sz w:val="22"/>
          <w:szCs w:val="22"/>
        </w:rPr>
        <w:t>Managers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Accountants</w:t>
      </w:r>
      <w:r>
        <w:rPr>
          <w:rFonts w:hint="default" w:ascii="Times New Roman" w:hAnsi="Times New Roman" w:cs="Times New Roman"/>
          <w:sz w:val="22"/>
          <w:szCs w:val="22"/>
        </w:rPr>
        <w:t xml:space="preserve"> carry the highest average annuity amounts (indicating larger loans and higher repayment capacity), while </w:t>
      </w:r>
      <w:r>
        <w:rPr>
          <w:rFonts w:hint="default" w:ascii="Times New Roman" w:hAnsi="Times New Roman" w:cs="Times New Roman"/>
          <w:b/>
          <w:bCs/>
          <w:sz w:val="22"/>
          <w:szCs w:val="22"/>
        </w:rPr>
        <w:t>Low-skill Laborers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Cleaning Staff</w:t>
      </w:r>
      <w:r>
        <w:rPr>
          <w:rFonts w:hint="default" w:ascii="Times New Roman" w:hAnsi="Times New Roman" w:cs="Times New Roman"/>
          <w:sz w:val="22"/>
          <w:szCs w:val="22"/>
        </w:rPr>
        <w:t xml:space="preserve"> have the lowest average annuities.</w:t>
      </w:r>
    </w:p>
    <w:bookmarkEnd w:id="52"/>
    <w:bookmarkEnd w:id="56"/>
    <w:p w14:paraId="5CB8B6D7">
      <w:pPr>
        <w:pStyle w:val="5"/>
        <w:rPr>
          <w:rFonts w:hint="default" w:ascii="Times New Roman" w:hAnsi="Times New Roman" w:cs="Times New Roman"/>
          <w:sz w:val="24"/>
          <w:szCs w:val="24"/>
        </w:rPr>
      </w:pPr>
      <w:bookmarkStart w:id="57" w:name="X40d0439cc4007aa539482b42e43a1cd2caad545"/>
      <w:r>
        <w:rPr>
          <w:rFonts w:hint="default" w:ascii="Times New Roman" w:hAnsi="Times New Roman" w:cs="Times New Roman"/>
          <w:b/>
          <w:bCs/>
          <w:sz w:val="24"/>
          <w:szCs w:val="24"/>
        </w:rPr>
        <w:t>4. Risk Drivers &amp; Sensitivity Analysis Dashboard</w:t>
      </w:r>
    </w:p>
    <w:p w14:paraId="119A885D">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offers a granular "deep dive" into the current loan application pool. Unlike the high-level Overview, this view is designed for </w:t>
      </w:r>
      <w:r>
        <w:rPr>
          <w:rFonts w:hint="default" w:ascii="Times New Roman" w:hAnsi="Times New Roman" w:cs="Times New Roman"/>
          <w:b/>
          <w:bCs/>
          <w:sz w:val="22"/>
          <w:szCs w:val="22"/>
        </w:rPr>
        <w:t>sensitivity analysis</w:t>
      </w:r>
      <w:r>
        <w:rPr>
          <w:rFonts w:hint="default" w:ascii="Times New Roman" w:hAnsi="Times New Roman" w:cs="Times New Roman"/>
          <w:sz w:val="22"/>
          <w:szCs w:val="22"/>
        </w:rPr>
        <w:t>, allowing analysts to adjust specific financial levers (like annuity values or job tenure) to see how they impact risk profiles.</w:t>
      </w:r>
    </w:p>
    <w:p w14:paraId="240B78CE">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04185"/>
            <wp:effectExtent l="0" t="0" r="0" b="0"/>
            <wp:docPr id="142" name="Picture" descr="Risk Drivers &amp; Sensitivity Analysi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descr="Risk Drivers &amp; Sensitivity Analysis Dashboard"/>
                    <pic:cNvPicPr>
                      <a:picLocks noChangeAspect="1" noChangeArrowheads="1"/>
                    </pic:cNvPicPr>
                  </pic:nvPicPr>
                  <pic:blipFill>
                    <a:blip r:embed="rId30"/>
                    <a:stretch>
                      <a:fillRect/>
                    </a:stretch>
                  </pic:blipFill>
                  <pic:spPr>
                    <a:xfrm>
                      <a:off x="0" y="0"/>
                      <a:ext cx="5334000" cy="3004335"/>
                    </a:xfrm>
                    <a:prstGeom prst="rect">
                      <a:avLst/>
                    </a:prstGeom>
                    <a:noFill/>
                    <a:ln w="9525">
                      <a:noFill/>
                    </a:ln>
                  </pic:spPr>
                </pic:pic>
              </a:graphicData>
            </a:graphic>
          </wp:inline>
        </w:drawing>
      </w:r>
    </w:p>
    <w:p w14:paraId="7D1819B3">
      <w:pPr>
        <w:pStyle w:val="6"/>
        <w:rPr>
          <w:rFonts w:hint="default" w:ascii="Times New Roman" w:hAnsi="Times New Roman" w:cs="Times New Roman"/>
          <w:sz w:val="22"/>
          <w:szCs w:val="22"/>
        </w:rPr>
      </w:pPr>
      <w:bookmarkStart w:id="58" w:name="key-financial-ratios--kpis"/>
      <w:r>
        <w:rPr>
          <w:rFonts w:hint="default" w:ascii="Times New Roman" w:hAnsi="Times New Roman" w:cs="Times New Roman"/>
          <w:b/>
          <w:bCs/>
          <w:sz w:val="22"/>
          <w:szCs w:val="22"/>
        </w:rPr>
        <w:t>Key Financial Ratios &amp; KPIs</w:t>
      </w:r>
    </w:p>
    <w:p w14:paraId="2575BB5C">
      <w:pPr>
        <w:pStyle w:val="23"/>
        <w:rPr>
          <w:rFonts w:hint="default" w:ascii="Times New Roman" w:hAnsi="Times New Roman" w:cs="Times New Roman"/>
          <w:sz w:val="22"/>
          <w:szCs w:val="22"/>
        </w:rPr>
      </w:pPr>
      <w:r>
        <w:rPr>
          <w:rFonts w:hint="default" w:ascii="Times New Roman" w:hAnsi="Times New Roman" w:cs="Times New Roman"/>
          <w:sz w:val="22"/>
          <w:szCs w:val="22"/>
        </w:rPr>
        <w:t>The top section reiterates core portfolio metrics with a specific focus on collateral and affordability ratios:</w:t>
      </w:r>
    </w:p>
    <w:p w14:paraId="6E1EB5E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active files under review.</w:t>
      </w:r>
    </w:p>
    <w:p w14:paraId="5F2792C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 to Goods Ratio (1.12):</w:t>
      </w:r>
      <w:r>
        <w:rPr>
          <w:rFonts w:hint="default" w:ascii="Times New Roman" w:hAnsi="Times New Roman" w:cs="Times New Roman"/>
          <w:sz w:val="22"/>
          <w:szCs w:val="22"/>
        </w:rPr>
        <w:t xml:space="preserve"> This gauge is unique to this page. A ratio greater than 1.0 suggests that, on average, applicants are borrowing slightly more than the value of the goods they are purchasing (potentially for insurance or fees), which can be a risk signal.</w:t>
      </w:r>
    </w:p>
    <w:p w14:paraId="62DB702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Affordability Metrics:</w:t>
      </w:r>
      <w:r>
        <w:rPr>
          <w:rFonts w:hint="default" w:ascii="Times New Roman" w:hAnsi="Times New Roman" w:cs="Times New Roman"/>
          <w:sz w:val="22"/>
          <w:szCs w:val="22"/>
        </w:rPr>
        <w:t xml:space="preserve"> The </w:t>
      </w:r>
      <w:r>
        <w:rPr>
          <w:rFonts w:hint="default" w:ascii="Times New Roman" w:hAnsi="Times New Roman" w:cs="Times New Roman"/>
          <w:b/>
          <w:bCs/>
          <w:sz w:val="22"/>
          <w:szCs w:val="22"/>
        </w:rPr>
        <w:t>Annuity to Income Ratio (0.18)</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Credit to Income Ratio (3.96)</w:t>
      </w:r>
      <w:r>
        <w:rPr>
          <w:rFonts w:hint="default" w:ascii="Times New Roman" w:hAnsi="Times New Roman" w:cs="Times New Roman"/>
          <w:sz w:val="22"/>
          <w:szCs w:val="22"/>
        </w:rPr>
        <w:t xml:space="preserve"> remain visible to monitor baseline affordability.</w:t>
      </w:r>
    </w:p>
    <w:bookmarkEnd w:id="58"/>
    <w:p w14:paraId="1AF4E1EC">
      <w:pPr>
        <w:pStyle w:val="6"/>
        <w:rPr>
          <w:rFonts w:hint="default" w:ascii="Times New Roman" w:hAnsi="Times New Roman" w:cs="Times New Roman"/>
          <w:sz w:val="22"/>
          <w:szCs w:val="22"/>
        </w:rPr>
      </w:pPr>
      <w:bookmarkStart w:id="59" w:name="advanced-filtering--sensitivity-controls"/>
      <w:r>
        <w:rPr>
          <w:rFonts w:hint="default" w:ascii="Times New Roman" w:hAnsi="Times New Roman" w:cs="Times New Roman"/>
          <w:b/>
          <w:bCs/>
          <w:sz w:val="22"/>
          <w:szCs w:val="22"/>
        </w:rPr>
        <w:t>Advanced Filtering &amp; Sensitivity Controls</w:t>
      </w:r>
    </w:p>
    <w:p w14:paraId="5B5ED622">
      <w:pPr>
        <w:pStyle w:val="23"/>
        <w:rPr>
          <w:rFonts w:hint="default" w:ascii="Times New Roman" w:hAnsi="Times New Roman" w:cs="Times New Roman"/>
          <w:sz w:val="22"/>
          <w:szCs w:val="22"/>
        </w:rPr>
      </w:pPr>
      <w:r>
        <w:rPr>
          <w:rFonts w:hint="default" w:ascii="Times New Roman" w:hAnsi="Times New Roman" w:cs="Times New Roman"/>
          <w:sz w:val="22"/>
          <w:szCs w:val="22"/>
        </w:rPr>
        <w:t>This page features the most extensive set of filters, enabling "What-If" analysis:</w:t>
      </w:r>
    </w:p>
    <w:p w14:paraId="42C5FA6D">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 Segmentation:</w:t>
      </w:r>
      <w:r>
        <w:rPr>
          <w:rFonts w:hint="default" w:ascii="Times New Roman" w:hAnsi="Times New Roman" w:cs="Times New Roman"/>
          <w:sz w:val="22"/>
          <w:szCs w:val="22"/>
        </w:rPr>
        <w:t xml:space="preserve"> Checkboxes for </w:t>
      </w:r>
      <w:r>
        <w:rPr>
          <w:rFonts w:hint="default" w:ascii="Times New Roman" w:hAnsi="Times New Roman" w:cs="Times New Roman"/>
          <w:b/>
          <w:bCs/>
          <w:sz w:val="22"/>
          <w:szCs w:val="22"/>
        </w:rPr>
        <w:t>Gender</w:t>
      </w:r>
      <w:r>
        <w:rPr>
          <w:rFonts w:hint="default" w:ascii="Times New Roman" w:hAnsi="Times New Roman" w:cs="Times New Roman"/>
          <w:sz w:val="22"/>
          <w:szCs w:val="22"/>
        </w:rPr>
        <w:t xml:space="preserve"> (M/F) and </w:t>
      </w:r>
      <w:r>
        <w:rPr>
          <w:rFonts w:hint="default" w:ascii="Times New Roman" w:hAnsi="Times New Roman" w:cs="Times New Roman"/>
          <w:b/>
          <w:bCs/>
          <w:sz w:val="22"/>
          <w:szCs w:val="22"/>
        </w:rPr>
        <w:t>Education Level</w:t>
      </w:r>
      <w:r>
        <w:rPr>
          <w:rFonts w:hint="default" w:ascii="Times New Roman" w:hAnsi="Times New Roman" w:cs="Times New Roman"/>
          <w:sz w:val="22"/>
          <w:szCs w:val="22"/>
        </w:rPr>
        <w:t xml:space="preserve"> (Higher, Low, Secondary).</w:t>
      </w:r>
    </w:p>
    <w:p w14:paraId="4AE1999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Sliders:</w:t>
      </w:r>
      <w:r>
        <w:rPr>
          <w:rFonts w:hint="default" w:ascii="Times New Roman" w:hAnsi="Times New Roman" w:cs="Times New Roman"/>
          <w:sz w:val="22"/>
          <w:szCs w:val="22"/>
        </w:rPr>
        <w:t xml:space="preserve"> Users can filter the entire dashboard by specific continuous ranges, such as:</w:t>
      </w:r>
    </w:p>
    <w:p w14:paraId="6344BC50">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Job Age at Loan:</w:t>
      </w:r>
      <w:r>
        <w:rPr>
          <w:rFonts w:hint="default" w:ascii="Times New Roman" w:hAnsi="Times New Roman" w:cs="Times New Roman"/>
          <w:sz w:val="22"/>
          <w:szCs w:val="22"/>
        </w:rPr>
        <w:t xml:space="preserve"> To isolate new employees vs. stable veterans.</w:t>
      </w:r>
    </w:p>
    <w:p w14:paraId="339C029B">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Completion Rate:</w:t>
      </w:r>
      <w:r>
        <w:rPr>
          <w:rFonts w:hint="default" w:ascii="Times New Roman" w:hAnsi="Times New Roman" w:cs="Times New Roman"/>
          <w:sz w:val="22"/>
          <w:szCs w:val="22"/>
        </w:rPr>
        <w:t xml:space="preserve"> To filter based on historical repayment progress.</w:t>
      </w:r>
    </w:p>
    <w:p w14:paraId="146CF38A">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No. of Contacts:</w:t>
      </w:r>
      <w:r>
        <w:rPr>
          <w:rFonts w:hint="default" w:ascii="Times New Roman" w:hAnsi="Times New Roman" w:cs="Times New Roman"/>
          <w:sz w:val="22"/>
          <w:szCs w:val="22"/>
        </w:rPr>
        <w:t xml:space="preserve"> To analyze if applicants providing more contact methods are more reliable.</w:t>
      </w:r>
    </w:p>
    <w:bookmarkEnd w:id="59"/>
    <w:p w14:paraId="48AC2092">
      <w:pPr>
        <w:pStyle w:val="6"/>
        <w:rPr>
          <w:rFonts w:hint="default" w:ascii="Times New Roman" w:hAnsi="Times New Roman" w:cs="Times New Roman"/>
          <w:sz w:val="22"/>
          <w:szCs w:val="22"/>
        </w:rPr>
      </w:pPr>
      <w:bookmarkStart w:id="60" w:name="visual-insights-risk-drivers"/>
      <w:r>
        <w:rPr>
          <w:rFonts w:hint="default" w:ascii="Times New Roman" w:hAnsi="Times New Roman" w:cs="Times New Roman"/>
          <w:b/>
          <w:bCs/>
          <w:sz w:val="22"/>
          <w:szCs w:val="22"/>
        </w:rPr>
        <w:t>Visual Insights: Risk Drivers</w:t>
      </w:r>
    </w:p>
    <w:p w14:paraId="73F0DF87">
      <w:pPr>
        <w:numPr>
          <w:ilvl w:val="0"/>
          <w:numId w:val="5"/>
        </w:numPr>
        <w:rPr>
          <w:rFonts w:hint="default" w:ascii="Times New Roman" w:hAnsi="Times New Roman" w:cs="Times New Roman"/>
          <w:sz w:val="22"/>
          <w:szCs w:val="22"/>
        </w:rPr>
      </w:pPr>
      <w:r>
        <w:rPr>
          <w:rFonts w:hint="default" w:ascii="Times New Roman" w:hAnsi="Times New Roman" w:cs="Times New Roman"/>
          <w:b/>
          <w:bCs/>
          <w:sz w:val="22"/>
          <w:szCs w:val="22"/>
        </w:rPr>
        <w:t>Distribution of Applicant Category (Defaulter vs. Non-Defaulter)</w:t>
      </w:r>
    </w:p>
    <w:p w14:paraId="775F2D64">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Grouped bar chart comparing key averages for </w:t>
      </w:r>
      <w:r>
        <w:rPr>
          <w:rStyle w:val="48"/>
          <w:rFonts w:hint="default" w:ascii="Times New Roman" w:hAnsi="Times New Roman" w:cs="Times New Roman"/>
          <w:sz w:val="21"/>
          <w:szCs w:val="22"/>
        </w:rPr>
        <w:t>Defaulted</w:t>
      </w:r>
      <w:r>
        <w:rPr>
          <w:rFonts w:hint="default" w:ascii="Times New Roman" w:hAnsi="Times New Roman" w:cs="Times New Roman"/>
          <w:sz w:val="22"/>
          <w:szCs w:val="22"/>
        </w:rPr>
        <w:t xml:space="preserve"> vs </w:t>
      </w:r>
      <w:r>
        <w:rPr>
          <w:rStyle w:val="48"/>
          <w:rFonts w:hint="default" w:ascii="Times New Roman" w:hAnsi="Times New Roman" w:cs="Times New Roman"/>
          <w:sz w:val="21"/>
          <w:szCs w:val="22"/>
        </w:rPr>
        <w:t>Not Defaulted</w:t>
      </w:r>
      <w:r>
        <w:rPr>
          <w:rFonts w:hint="default" w:ascii="Times New Roman" w:hAnsi="Times New Roman" w:cs="Times New Roman"/>
          <w:sz w:val="22"/>
          <w:szCs w:val="22"/>
        </w:rPr>
        <w:t xml:space="preserve"> applicants.</w:t>
      </w:r>
    </w:p>
    <w:p w14:paraId="7C30BA64">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p>
    <w:p w14:paraId="00D569FF">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Region Rating (Orange Bar):</w:t>
      </w:r>
      <w:r>
        <w:rPr>
          <w:rFonts w:hint="default" w:ascii="Times New Roman" w:hAnsi="Times New Roman" w:cs="Times New Roman"/>
          <w:sz w:val="22"/>
          <w:szCs w:val="22"/>
        </w:rPr>
        <w:t xml:space="preserve"> Defaulters have a noticeably higher average Region Rating (</w:t>
      </w:r>
      <w:r>
        <w:rPr>
          <w:rFonts w:hint="default" w:ascii="Times New Roman" w:hAnsi="Times New Roman" w:cs="Times New Roman"/>
          <w:b/>
          <w:bCs/>
          <w:sz w:val="22"/>
          <w:szCs w:val="22"/>
        </w:rPr>
        <w:t>2.13</w:t>
      </w:r>
      <w:r>
        <w:rPr>
          <w:rFonts w:hint="default" w:ascii="Times New Roman" w:hAnsi="Times New Roman" w:cs="Times New Roman"/>
          <w:sz w:val="22"/>
          <w:szCs w:val="22"/>
        </w:rPr>
        <w:t>) compared to non-defaulters (</w:t>
      </w:r>
      <w:r>
        <w:rPr>
          <w:rFonts w:hint="default" w:ascii="Times New Roman" w:hAnsi="Times New Roman" w:cs="Times New Roman"/>
          <w:b/>
          <w:bCs/>
          <w:sz w:val="22"/>
          <w:szCs w:val="22"/>
        </w:rPr>
        <w:t>2.02</w:t>
      </w:r>
      <w:r>
        <w:rPr>
          <w:rFonts w:hint="default" w:ascii="Times New Roman" w:hAnsi="Times New Roman" w:cs="Times New Roman"/>
          <w:sz w:val="22"/>
          <w:szCs w:val="22"/>
        </w:rPr>
        <w:t>), suggesting that location/regional economic health is a predictive factor.</w:t>
      </w:r>
    </w:p>
    <w:p w14:paraId="7322FC8E">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Credit-to-Goods (Dark Blue Bar):</w:t>
      </w:r>
      <w:r>
        <w:rPr>
          <w:rFonts w:hint="default" w:ascii="Times New Roman" w:hAnsi="Times New Roman" w:cs="Times New Roman"/>
          <w:sz w:val="22"/>
          <w:szCs w:val="22"/>
        </w:rPr>
        <w:t xml:space="preserve"> Defaulters also show a slightly higher gap between credit received and goods value (</w:t>
      </w:r>
      <w:r>
        <w:rPr>
          <w:rFonts w:hint="default" w:ascii="Times New Roman" w:hAnsi="Times New Roman" w:cs="Times New Roman"/>
          <w:b/>
          <w:bCs/>
          <w:sz w:val="22"/>
          <w:szCs w:val="22"/>
        </w:rPr>
        <w:t>1.15</w:t>
      </w:r>
      <w:r>
        <w:rPr>
          <w:rFonts w:hint="default" w:ascii="Times New Roman" w:hAnsi="Times New Roman" w:cs="Times New Roman"/>
          <w:sz w:val="22"/>
          <w:szCs w:val="22"/>
        </w:rPr>
        <w:t xml:space="preserve"> vs </w:t>
      </w:r>
      <w:r>
        <w:rPr>
          <w:rFonts w:hint="default" w:ascii="Times New Roman" w:hAnsi="Times New Roman" w:cs="Times New Roman"/>
          <w:b/>
          <w:bCs/>
          <w:sz w:val="22"/>
          <w:szCs w:val="22"/>
        </w:rPr>
        <w:t>1.12</w:t>
      </w:r>
      <w:r>
        <w:rPr>
          <w:rFonts w:hint="default" w:ascii="Times New Roman" w:hAnsi="Times New Roman" w:cs="Times New Roman"/>
          <w:sz w:val="22"/>
          <w:szCs w:val="22"/>
        </w:rPr>
        <w:t>), indicating they may be financing more "extras" or have less downpayment coverage.</w:t>
      </w:r>
    </w:p>
    <w:p w14:paraId="6665DAE0">
      <w:pPr>
        <w:numPr>
          <w:ilvl w:val="0"/>
          <w:numId w:val="5"/>
        </w:numPr>
        <w:rPr>
          <w:rFonts w:hint="default" w:ascii="Times New Roman" w:hAnsi="Times New Roman" w:cs="Times New Roman"/>
          <w:sz w:val="22"/>
          <w:szCs w:val="22"/>
        </w:rPr>
      </w:pPr>
      <w:r>
        <w:rPr>
          <w:rFonts w:hint="default" w:ascii="Times New Roman" w:hAnsi="Times New Roman" w:cs="Times New Roman"/>
          <w:b/>
          <w:bCs/>
          <w:sz w:val="22"/>
          <w:szCs w:val="22"/>
        </w:rPr>
        <w:t>Income vs. Risk Ratio</w:t>
      </w:r>
    </w:p>
    <w:p w14:paraId="6BC7241F">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Line chart plotting </w:t>
      </w:r>
      <w:r>
        <w:rPr>
          <w:rFonts w:hint="default" w:ascii="Times New Roman" w:hAnsi="Times New Roman" w:cs="Times New Roman"/>
          <w:b/>
          <w:bCs/>
          <w:sz w:val="22"/>
          <w:szCs w:val="22"/>
        </w:rPr>
        <w:t>Risk Ratio</w:t>
      </w:r>
      <w:r>
        <w:rPr>
          <w:rFonts w:hint="default" w:ascii="Times New Roman" w:hAnsi="Times New Roman" w:cs="Times New Roman"/>
          <w:sz w:val="22"/>
          <w:szCs w:val="22"/>
        </w:rPr>
        <w:t xml:space="preserve"> against </w:t>
      </w:r>
      <w:r>
        <w:rPr>
          <w:rFonts w:hint="default" w:ascii="Times New Roman" w:hAnsi="Times New Roman" w:cs="Times New Roman"/>
          <w:b/>
          <w:bCs/>
          <w:sz w:val="22"/>
          <w:szCs w:val="22"/>
        </w:rPr>
        <w:t>Income Per Person</w:t>
      </w:r>
      <w:r>
        <w:rPr>
          <w:rFonts w:hint="default" w:ascii="Times New Roman" w:hAnsi="Times New Roman" w:cs="Times New Roman"/>
          <w:sz w:val="22"/>
          <w:szCs w:val="22"/>
        </w:rPr>
        <w:t>.</w:t>
      </w:r>
    </w:p>
    <w:p w14:paraId="66622008">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There is a visible </w:t>
      </w:r>
      <w:r>
        <w:rPr>
          <w:rFonts w:hint="default" w:ascii="Times New Roman" w:hAnsi="Times New Roman" w:cs="Times New Roman"/>
          <w:b/>
          <w:bCs/>
          <w:sz w:val="22"/>
          <w:szCs w:val="22"/>
        </w:rPr>
        <w:t>inverse relationship</w:t>
      </w:r>
      <w:r>
        <w:rPr>
          <w:rFonts w:hint="default" w:ascii="Times New Roman" w:hAnsi="Times New Roman" w:cs="Times New Roman"/>
          <w:sz w:val="22"/>
          <w:szCs w:val="22"/>
        </w:rPr>
        <w:t xml:space="preserve"> between income and risk.</w:t>
      </w:r>
    </w:p>
    <w:p w14:paraId="61D30CA5">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Highest Risk:</w:t>
      </w:r>
      <w:r>
        <w:rPr>
          <w:rFonts w:hint="default" w:ascii="Times New Roman" w:hAnsi="Times New Roman" w:cs="Times New Roman"/>
          <w:sz w:val="22"/>
          <w:szCs w:val="22"/>
        </w:rPr>
        <w:t xml:space="preserve"> The risk peaks at </w:t>
      </w:r>
      <w:r>
        <w:rPr>
          <w:rFonts w:hint="default" w:ascii="Times New Roman" w:hAnsi="Times New Roman" w:cs="Times New Roman"/>
          <w:b/>
          <w:bCs/>
          <w:sz w:val="22"/>
          <w:szCs w:val="22"/>
        </w:rPr>
        <w:t>10.4%</w:t>
      </w:r>
      <w:r>
        <w:rPr>
          <w:rFonts w:hint="default" w:ascii="Times New Roman" w:hAnsi="Times New Roman" w:cs="Times New Roman"/>
          <w:sz w:val="22"/>
          <w:szCs w:val="22"/>
        </w:rPr>
        <w:t xml:space="preserve"> for the lowest income bracket (near 0–20K).</w:t>
      </w:r>
    </w:p>
    <w:p w14:paraId="2448E6E6">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Lowest Risk:</w:t>
      </w:r>
      <w:r>
        <w:rPr>
          <w:rFonts w:hint="default" w:ascii="Times New Roman" w:hAnsi="Times New Roman" w:cs="Times New Roman"/>
          <w:sz w:val="22"/>
          <w:szCs w:val="22"/>
        </w:rPr>
        <w:t xml:space="preserve"> As income rises to 200K, the risk drops significantly to </w:t>
      </w:r>
      <w:r>
        <w:rPr>
          <w:rFonts w:hint="default" w:ascii="Times New Roman" w:hAnsi="Times New Roman" w:cs="Times New Roman"/>
          <w:b/>
          <w:bCs/>
          <w:sz w:val="22"/>
          <w:szCs w:val="22"/>
        </w:rPr>
        <w:t>6.8%</w:t>
      </w:r>
      <w:r>
        <w:rPr>
          <w:rFonts w:hint="default" w:ascii="Times New Roman" w:hAnsi="Times New Roman" w:cs="Times New Roman"/>
          <w:sz w:val="22"/>
          <w:szCs w:val="22"/>
        </w:rPr>
        <w:t>.</w:t>
      </w:r>
    </w:p>
    <w:p w14:paraId="5BD50534">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Volatility:</w:t>
      </w:r>
      <w:r>
        <w:rPr>
          <w:rFonts w:hint="default" w:ascii="Times New Roman" w:hAnsi="Times New Roman" w:cs="Times New Roman"/>
          <w:sz w:val="22"/>
          <w:szCs w:val="22"/>
        </w:rPr>
        <w:t xml:space="preserve"> The curve is not perfectly smooth; there is a notable "bump" in risk around the </w:t>
      </w:r>
      <w:r>
        <w:rPr>
          <w:rFonts w:hint="default" w:ascii="Times New Roman" w:hAnsi="Times New Roman" w:cs="Times New Roman"/>
          <w:b/>
          <w:bCs/>
          <w:sz w:val="22"/>
          <w:szCs w:val="22"/>
        </w:rPr>
        <w:t>150K</w:t>
      </w:r>
      <w:r>
        <w:rPr>
          <w:rFonts w:hint="default" w:ascii="Times New Roman" w:hAnsi="Times New Roman" w:cs="Times New Roman"/>
          <w:sz w:val="22"/>
          <w:szCs w:val="22"/>
        </w:rPr>
        <w:t xml:space="preserve"> income mark (</w:t>
      </w:r>
      <w:r>
        <w:rPr>
          <w:rFonts w:hint="default" w:ascii="Times New Roman" w:hAnsi="Times New Roman" w:cs="Times New Roman"/>
          <w:b/>
          <w:bCs/>
          <w:sz w:val="22"/>
          <w:szCs w:val="22"/>
        </w:rPr>
        <w:t>8.2%</w:t>
      </w:r>
      <w:r>
        <w:rPr>
          <w:rFonts w:hint="default" w:ascii="Times New Roman" w:hAnsi="Times New Roman" w:cs="Times New Roman"/>
          <w:sz w:val="22"/>
          <w:szCs w:val="22"/>
        </w:rPr>
        <w:t>), suggesting that higher income does not always guarantee lower risk—perhaps due to higher leverage in that segment.</w:t>
      </w:r>
    </w:p>
    <w:bookmarkEnd w:id="17"/>
    <w:bookmarkEnd w:id="41"/>
    <w:bookmarkEnd w:id="57"/>
    <w:bookmarkEnd w:id="60"/>
    <w:p w14:paraId="795C640F">
      <w:pPr>
        <w:pStyle w:val="2"/>
        <w:rPr>
          <w:rFonts w:hint="default" w:ascii="Times New Roman" w:hAnsi="Times New Roman" w:cs="Times New Roman"/>
          <w:sz w:val="36"/>
          <w:szCs w:val="36"/>
        </w:rPr>
      </w:pPr>
      <w:bookmarkStart w:id="61" w:name="conclusion"/>
      <w:r>
        <w:rPr>
          <w:rFonts w:hint="default" w:ascii="Times New Roman" w:hAnsi="Times New Roman" w:cs="Times New Roman"/>
          <w:b/>
          <w:bCs/>
          <w:sz w:val="36"/>
          <w:szCs w:val="36"/>
        </w:rPr>
        <w:t>Conclusion</w:t>
      </w:r>
    </w:p>
    <w:p w14:paraId="40A7B2CE">
      <w:pPr>
        <w:pStyle w:val="23"/>
        <w:rPr>
          <w:rFonts w:hint="default" w:ascii="Times New Roman" w:hAnsi="Times New Roman" w:cs="Times New Roman"/>
          <w:sz w:val="22"/>
          <w:szCs w:val="22"/>
        </w:rPr>
      </w:pPr>
      <w:r>
        <w:rPr>
          <w:rFonts w:hint="default" w:ascii="Times New Roman" w:hAnsi="Times New Roman" w:cs="Times New Roman"/>
          <w:sz w:val="22"/>
          <w:szCs w:val="22"/>
        </w:rPr>
        <w:t>This data visualization project has successfully transformed complex loan application datasets into clear, actionable insights through systematic data cleaning, feature engineering, and in-depth exploratory analysis. The project identifies key behavioral and financial indicators linked to loan default—such as external credit scores, repayment burden ratios, age-related stability, previous refusal rates, and historical application patterns. These insights will guide the finance company in improving its credit evaluation model and risk screening process.</w:t>
      </w:r>
    </w:p>
    <w:p w14:paraId="49B0E130">
      <w:pPr>
        <w:pStyle w:val="3"/>
        <w:rPr>
          <w:rFonts w:hint="default" w:ascii="Times New Roman" w:hAnsi="Times New Roman" w:cs="Times New Roman"/>
          <w:sz w:val="22"/>
          <w:szCs w:val="22"/>
        </w:rPr>
      </w:pPr>
      <w:r>
        <w:rPr>
          <w:rFonts w:hint="default" w:ascii="Times New Roman" w:hAnsi="Times New Roman" w:cs="Times New Roman"/>
          <w:sz w:val="22"/>
          <w:szCs w:val="22"/>
        </w:rPr>
        <w:t>The final engineered and risk-enriched dataset provides a robust, clean foundation for the upcoming interactive Power BI dashboard. This dashboard will enable stakeholders to dynamically explore borrower profiles, segment risk across demographic and financial dimensions, monitor default patterns, and simulate the impact of policy changes in real time. By emphasizing visual storytelling and interpretability, the project bridges raw data with practical business decision-making, supporting faster and more informed credit assessments while reducing potential default losses.</w:t>
      </w:r>
    </w:p>
    <w:p w14:paraId="13A6B2E1">
      <w:pPr>
        <w:pStyle w:val="3"/>
        <w:rPr>
          <w:rFonts w:hint="default" w:ascii="Times New Roman" w:hAnsi="Times New Roman" w:cs="Times New Roman"/>
          <w:sz w:val="22"/>
          <w:szCs w:val="22"/>
        </w:rPr>
      </w:pPr>
      <w:r>
        <w:rPr>
          <w:rFonts w:hint="default" w:ascii="Times New Roman" w:hAnsi="Times New Roman" w:cs="Times New Roman"/>
          <w:sz w:val="22"/>
          <w:szCs w:val="22"/>
        </w:rPr>
        <w:t>Next steps involve building the interactive Power BI dashboard and preparing a final presentation summarizing key insights for stakeholders.</w:t>
      </w:r>
    </w:p>
    <w:p w14:paraId="027EC362">
      <w:pPr>
        <w:pStyle w:val="3"/>
        <w:rPr>
          <w:rFonts w:hint="default" w:ascii="Times New Roman" w:hAnsi="Times New Roman" w:cs="Times New Roman"/>
          <w:sz w:val="22"/>
          <w:szCs w:val="22"/>
        </w:rPr>
      </w:pPr>
      <w:r>
        <w:rPr>
          <w:rFonts w:hint="default" w:ascii="Times New Roman" w:hAnsi="Times New Roman" w:cs="Times New Roman"/>
          <w:sz w:val="22"/>
          <w:szCs w:val="22"/>
        </w:rPr>
        <w:t>For a detailed view of the code, notebooks, processed datasets, and visualization outputs, the complete project repository is available on GitHub:</w:t>
      </w:r>
      <w:r>
        <w:rPr>
          <w:rFonts w:hint="default" w:ascii="Times New Roman" w:hAnsi="Times New Roman" w:cs="Times New Roman"/>
          <w:sz w:val="22"/>
          <w:szCs w:val="22"/>
        </w:rPr>
        <w:br w:type="textWrapping"/>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"https://github.com/21f1001520/technerds.git" \h </w:instrText>
      </w:r>
      <w:r>
        <w:rPr>
          <w:rFonts w:hint="default" w:ascii="Times New Roman" w:hAnsi="Times New Roman" w:cs="Times New Roman"/>
          <w:sz w:val="22"/>
          <w:szCs w:val="22"/>
        </w:rPr>
        <w:fldChar w:fldCharType="separate"/>
      </w:r>
      <w:r>
        <w:rPr>
          <w:rStyle w:val="21"/>
          <w:rFonts w:hint="default" w:ascii="Times New Roman" w:hAnsi="Times New Roman" w:cs="Times New Roman"/>
          <w:sz w:val="22"/>
          <w:szCs w:val="22"/>
        </w:rPr>
        <w:t>https://github.com/21f1001520/technerds.git</w:t>
      </w:r>
      <w:r>
        <w:rPr>
          <w:rStyle w:val="21"/>
          <w:rFonts w:hint="default" w:ascii="Times New Roman" w:hAnsi="Times New Roman" w:cs="Times New Roman"/>
          <w:sz w:val="22"/>
          <w:szCs w:val="22"/>
        </w:rPr>
        <w:fldChar w:fldCharType="end"/>
      </w:r>
    </w:p>
    <w:bookmarkEnd w:id="61"/>
    <w:p w14:paraId="1D033E47">
      <w:pPr>
        <w:pStyle w:val="2"/>
        <w:rPr>
          <w:rFonts w:hint="default" w:ascii="Times New Roman" w:hAnsi="Times New Roman" w:cs="Times New Roman"/>
          <w:sz w:val="36"/>
          <w:szCs w:val="36"/>
        </w:rPr>
      </w:pPr>
      <w:bookmarkStart w:id="62" w:name="technical-setup-instructions"/>
      <w:r>
        <w:rPr>
          <w:rFonts w:hint="default" w:ascii="Times New Roman" w:hAnsi="Times New Roman" w:cs="Times New Roman"/>
          <w:sz w:val="36"/>
          <w:szCs w:val="36"/>
        </w:rPr>
        <w:t>Technical Setup Instructions</w:t>
      </w:r>
    </w:p>
    <w:p w14:paraId="4C1D2440">
      <w:pPr>
        <w:pStyle w:val="23"/>
        <w:rPr>
          <w:rFonts w:hint="default" w:ascii="Times New Roman" w:hAnsi="Times New Roman" w:cs="Times New Roman"/>
          <w:sz w:val="22"/>
          <w:szCs w:val="22"/>
        </w:rPr>
      </w:pPr>
      <w:r>
        <w:rPr>
          <w:rFonts w:hint="default" w:ascii="Times New Roman" w:hAnsi="Times New Roman" w:cs="Times New Roman"/>
          <w:sz w:val="22"/>
          <w:szCs w:val="22"/>
        </w:rPr>
        <w:t>To set up and run this Data Visualization Project, follow these steps to ensure a smooth execution. This guide assumes you have Python installed on your system (version 3.8 or higher recommended) and access to a Jupyter Notebook environment.</w:t>
      </w:r>
    </w:p>
    <w:p w14:paraId="757FF689">
      <w:pPr>
        <w:pStyle w:val="5"/>
        <w:rPr>
          <w:rFonts w:hint="default" w:ascii="Times New Roman" w:hAnsi="Times New Roman" w:cs="Times New Roman"/>
          <w:sz w:val="24"/>
          <w:szCs w:val="24"/>
        </w:rPr>
      </w:pPr>
      <w:bookmarkStart w:id="63" w:name="Xf1e7c7c7c9679d1931a1c777d52e6625e743949"/>
      <w:r>
        <w:rPr>
          <w:rFonts w:hint="default" w:ascii="Times New Roman" w:hAnsi="Times New Roman" w:cs="Times New Roman"/>
          <w:b/>
          <w:bCs/>
          <w:sz w:val="24"/>
          <w:szCs w:val="24"/>
        </w:rPr>
        <w:t>1. Clone the Repository</w:t>
      </w:r>
    </w:p>
    <w:p w14:paraId="4F2EBBF2">
      <w:pPr>
        <w:pStyle w:val="23"/>
        <w:rPr>
          <w:rFonts w:hint="default" w:ascii="Times New Roman" w:hAnsi="Times New Roman" w:cs="Times New Roman"/>
          <w:sz w:val="22"/>
          <w:szCs w:val="22"/>
        </w:rPr>
      </w:pPr>
      <w:r>
        <w:rPr>
          <w:rFonts w:hint="default" w:ascii="Times New Roman" w:hAnsi="Times New Roman" w:cs="Times New Roman"/>
          <w:sz w:val="22"/>
          <w:szCs w:val="22"/>
        </w:rPr>
        <w:t>Clone the project repository from GitHub to your local machine:</w:t>
      </w:r>
    </w:p>
    <w:p w14:paraId="0957959E">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git clone https://github.com/21f1001520/technerds.git</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cd technerds</w:t>
      </w:r>
    </w:p>
    <w:p w14:paraId="152D02D2">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will download the project structure, including folders like </w:t>
      </w:r>
      <w:r>
        <w:rPr>
          <w:rStyle w:val="48"/>
          <w:rFonts w:hint="default" w:ascii="Times New Roman" w:hAnsi="Times New Roman" w:cs="Times New Roman"/>
          <w:sz w:val="21"/>
          <w:szCs w:val="22"/>
        </w:rPr>
        <w:t>build</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charts</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data</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output</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src</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week_1</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week_2</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week_3</w:t>
      </w:r>
      <w:r>
        <w:rPr>
          <w:rFonts w:hint="default" w:ascii="Times New Roman" w:hAnsi="Times New Roman" w:cs="Times New Roman"/>
          <w:sz w:val="22"/>
          <w:szCs w:val="22"/>
        </w:rPr>
        <w:t xml:space="preserve">, and files such as </w:t>
      </w:r>
      <w:r>
        <w:rPr>
          <w:rStyle w:val="48"/>
          <w:rFonts w:hint="default" w:ascii="Times New Roman" w:hAnsi="Times New Roman" w:cs="Times New Roman"/>
          <w:sz w:val="21"/>
          <w:szCs w:val="22"/>
        </w:rPr>
        <w:t>LICENSE</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pyproject.toml</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README.md</w:t>
      </w:r>
      <w:r>
        <w:rPr>
          <w:rFonts w:hint="default" w:ascii="Times New Roman" w:hAnsi="Times New Roman" w:cs="Times New Roman"/>
          <w:sz w:val="22"/>
          <w:szCs w:val="22"/>
        </w:rPr>
        <w:t xml:space="preserve">, and </w:t>
      </w:r>
      <w:r>
        <w:rPr>
          <w:rStyle w:val="48"/>
          <w:rFonts w:hint="default" w:ascii="Times New Roman" w:hAnsi="Times New Roman" w:cs="Times New Roman"/>
          <w:sz w:val="21"/>
          <w:szCs w:val="22"/>
        </w:rPr>
        <w:t>uv.lock</w:t>
      </w:r>
      <w:r>
        <w:rPr>
          <w:rFonts w:hint="default" w:ascii="Times New Roman" w:hAnsi="Times New Roman" w:cs="Times New Roman"/>
          <w:sz w:val="22"/>
          <w:szCs w:val="22"/>
        </w:rPr>
        <w:t>.</w:t>
      </w:r>
    </w:p>
    <w:bookmarkEnd w:id="63"/>
    <w:p w14:paraId="5B83F103">
      <w:pPr>
        <w:pStyle w:val="5"/>
        <w:rPr>
          <w:rFonts w:hint="default" w:ascii="Times New Roman" w:hAnsi="Times New Roman" w:cs="Times New Roman"/>
          <w:sz w:val="24"/>
          <w:szCs w:val="24"/>
        </w:rPr>
      </w:pPr>
      <w:bookmarkStart w:id="64" w:name="X3e142cb1b9c775e65234ed9b8fe388dec5afc0f"/>
      <w:r>
        <w:rPr>
          <w:rFonts w:hint="default" w:ascii="Times New Roman" w:hAnsi="Times New Roman" w:cs="Times New Roman"/>
          <w:b/>
          <w:bCs/>
          <w:sz w:val="24"/>
          <w:szCs w:val="24"/>
        </w:rPr>
        <w:t>2. Install Required Libraries</w:t>
      </w:r>
    </w:p>
    <w:p w14:paraId="7A193292">
      <w:pPr>
        <w:pStyle w:val="23"/>
        <w:rPr>
          <w:rFonts w:hint="default" w:ascii="Times New Roman" w:hAnsi="Times New Roman" w:cs="Times New Roman"/>
          <w:sz w:val="22"/>
          <w:szCs w:val="22"/>
        </w:rPr>
      </w:pPr>
      <w:r>
        <w:rPr>
          <w:rFonts w:hint="default" w:ascii="Times New Roman" w:hAnsi="Times New Roman" w:cs="Times New Roman"/>
          <w:sz w:val="22"/>
          <w:szCs w:val="22"/>
        </w:rPr>
        <w:t>Install all the necessary libraries prior to running the code. These are based on the imports used in the project. Run the following command in your terminal or command prompt:</w:t>
      </w:r>
    </w:p>
    <w:p w14:paraId="61512DD0">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pip install pandas numpy regex math pathlib seaborn matplotlib plotly scikit-learn scipy</w:t>
      </w:r>
    </w:p>
    <w:p w14:paraId="5EF3672E">
      <w:pPr>
        <w:pStyle w:val="23"/>
        <w:rPr>
          <w:rFonts w:hint="default" w:ascii="Times New Roman" w:hAnsi="Times New Roman" w:cs="Times New Roman"/>
          <w:sz w:val="22"/>
          <w:szCs w:val="22"/>
        </w:rPr>
      </w:pPr>
      <w:r>
        <w:rPr>
          <w:rFonts w:hint="default" w:ascii="Times New Roman" w:hAnsi="Times New Roman" w:cs="Times New Roman"/>
          <w:sz w:val="22"/>
          <w:szCs w:val="22"/>
        </w:rPr>
        <w:t>The key libraries include:</w:t>
      </w:r>
    </w:p>
    <w:p w14:paraId="2FB1C659">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pandas</w:t>
      </w:r>
      <w:r>
        <w:rPr>
          <w:rFonts w:hint="default" w:ascii="Times New Roman" w:hAnsi="Times New Roman" w:cs="Times New Roman"/>
          <w:sz w:val="22"/>
          <w:szCs w:val="22"/>
        </w:rPr>
        <w:t xml:space="preserve"> for data manipulation</w:t>
      </w:r>
    </w:p>
    <w:p w14:paraId="613661EB">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numpy</w:t>
      </w:r>
      <w:r>
        <w:rPr>
          <w:rFonts w:hint="default" w:ascii="Times New Roman" w:hAnsi="Times New Roman" w:cs="Times New Roman"/>
          <w:sz w:val="22"/>
          <w:szCs w:val="22"/>
        </w:rPr>
        <w:t xml:space="preserve"> for numerical computations</w:t>
      </w:r>
    </w:p>
    <w:p w14:paraId="642E70B2">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re</w:t>
      </w:r>
      <w:r>
        <w:rPr>
          <w:rFonts w:hint="default" w:ascii="Times New Roman" w:hAnsi="Times New Roman" w:cs="Times New Roman"/>
          <w:sz w:val="22"/>
          <w:szCs w:val="22"/>
        </w:rPr>
        <w:t xml:space="preserve"> for regular expressions (standard library)</w:t>
      </w:r>
    </w:p>
    <w:p w14:paraId="12C965E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math</w:t>
      </w:r>
      <w:r>
        <w:rPr>
          <w:rFonts w:hint="default" w:ascii="Times New Roman" w:hAnsi="Times New Roman" w:cs="Times New Roman"/>
          <w:sz w:val="22"/>
          <w:szCs w:val="22"/>
        </w:rPr>
        <w:t xml:space="preserve"> for mathematical functions (standard library)</w:t>
      </w:r>
    </w:p>
    <w:p w14:paraId="788C3B3D">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pathlib</w:t>
      </w:r>
      <w:r>
        <w:rPr>
          <w:rFonts w:hint="default" w:ascii="Times New Roman" w:hAnsi="Times New Roman" w:cs="Times New Roman"/>
          <w:sz w:val="22"/>
          <w:szCs w:val="22"/>
        </w:rPr>
        <w:t xml:space="preserve"> for file path handling (standard library)</w:t>
      </w:r>
    </w:p>
    <w:p w14:paraId="5CCE3D45">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seaborn</w:t>
      </w:r>
      <w:r>
        <w:rPr>
          <w:rFonts w:hint="default" w:ascii="Times New Roman" w:hAnsi="Times New Roman" w:cs="Times New Roman"/>
          <w:sz w:val="22"/>
          <w:szCs w:val="22"/>
        </w:rPr>
        <w:t xml:space="preserve"> and </w:t>
      </w:r>
      <w:r>
        <w:rPr>
          <w:rStyle w:val="48"/>
          <w:rFonts w:hint="default" w:ascii="Times New Roman" w:hAnsi="Times New Roman" w:cs="Times New Roman"/>
          <w:sz w:val="21"/>
          <w:szCs w:val="22"/>
        </w:rPr>
        <w:t>matplotlib</w:t>
      </w:r>
      <w:r>
        <w:rPr>
          <w:rFonts w:hint="default" w:ascii="Times New Roman" w:hAnsi="Times New Roman" w:cs="Times New Roman"/>
          <w:sz w:val="22"/>
          <w:szCs w:val="22"/>
        </w:rPr>
        <w:t xml:space="preserve"> for static visualizations</w:t>
      </w:r>
    </w:p>
    <w:p w14:paraId="66C26CB5">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plotly.express</w:t>
      </w:r>
      <w:r>
        <w:rPr>
          <w:rFonts w:hint="default" w:ascii="Times New Roman" w:hAnsi="Times New Roman" w:cs="Times New Roman"/>
          <w:sz w:val="22"/>
          <w:szCs w:val="22"/>
        </w:rPr>
        <w:t xml:space="preserve"> for interactive plots</w:t>
      </w:r>
    </w:p>
    <w:p w14:paraId="1DCB8B51">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sklearn.preprocessing.LabelEncoder</w:t>
      </w:r>
      <w:r>
        <w:rPr>
          <w:rFonts w:hint="default" w:ascii="Times New Roman" w:hAnsi="Times New Roman" w:cs="Times New Roman"/>
          <w:sz w:val="22"/>
          <w:szCs w:val="22"/>
        </w:rPr>
        <w:t xml:space="preserve"> for encoding categorical variables</w:t>
      </w:r>
    </w:p>
    <w:p w14:paraId="580823FF">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scipy.stats</w:t>
      </w:r>
      <w:r>
        <w:rPr>
          <w:rFonts w:hint="default" w:ascii="Times New Roman" w:hAnsi="Times New Roman" w:cs="Times New Roman"/>
          <w:sz w:val="22"/>
          <w:szCs w:val="22"/>
        </w:rPr>
        <w:t xml:space="preserve"> for statistical tests</w:t>
      </w:r>
    </w:p>
    <w:p w14:paraId="7C406940">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sklearn.model_selection.train_test_split</w:t>
      </w:r>
      <w:r>
        <w:rPr>
          <w:rFonts w:hint="default" w:ascii="Times New Roman" w:hAnsi="Times New Roman" w:cs="Times New Roman"/>
          <w:sz w:val="22"/>
          <w:szCs w:val="22"/>
        </w:rPr>
        <w:t xml:space="preserve"> for splitting datasets</w:t>
      </w:r>
    </w:p>
    <w:p w14:paraId="48557E20">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sklearn.ensemble.RandomForestClassifier</w:t>
      </w:r>
      <w:r>
        <w:rPr>
          <w:rFonts w:hint="default" w:ascii="Times New Roman" w:hAnsi="Times New Roman" w:cs="Times New Roman"/>
          <w:sz w:val="22"/>
          <w:szCs w:val="22"/>
        </w:rPr>
        <w:t xml:space="preserve"> for modeling</w:t>
      </w:r>
    </w:p>
    <w:p w14:paraId="2E3ADA98">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sklearn.metrics.roc_auc_score</w:t>
      </w:r>
      <w:r>
        <w:rPr>
          <w:rFonts w:hint="default" w:ascii="Times New Roman" w:hAnsi="Times New Roman" w:cs="Times New Roman"/>
          <w:sz w:val="22"/>
          <w:szCs w:val="22"/>
        </w:rPr>
        <w:t xml:space="preserve"> for evaluation</w:t>
      </w:r>
    </w:p>
    <w:p w14:paraId="19C56E2C">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warnings</w:t>
      </w:r>
      <w:r>
        <w:rPr>
          <w:rFonts w:hint="default" w:ascii="Times New Roman" w:hAnsi="Times New Roman" w:cs="Times New Roman"/>
          <w:sz w:val="22"/>
          <w:szCs w:val="22"/>
        </w:rPr>
        <w:t xml:space="preserve"> to suppress warnings (standard library)</w:t>
      </w:r>
    </w:p>
    <w:p w14:paraId="51F1BADE">
      <w:pPr>
        <w:pStyle w:val="23"/>
        <w:rPr>
          <w:rFonts w:hint="default" w:ascii="Times New Roman" w:hAnsi="Times New Roman" w:cs="Times New Roman"/>
          <w:sz w:val="22"/>
          <w:szCs w:val="22"/>
        </w:rPr>
      </w:pPr>
      <w:r>
        <w:rPr>
          <w:rFonts w:hint="default" w:ascii="Times New Roman" w:hAnsi="Times New Roman" w:cs="Times New Roman"/>
          <w:sz w:val="22"/>
          <w:szCs w:val="22"/>
        </w:rPr>
        <w:t>Additionally, set visualization styles in your code if needed:</w:t>
      </w:r>
    </w:p>
    <w:p w14:paraId="14C7FD31">
      <w:pPr>
        <w:pStyle w:val="49"/>
        <w:rPr>
          <w:rFonts w:hint="default" w:ascii="Times New Roman" w:hAnsi="Times New Roman" w:cs="Times New Roman"/>
          <w:sz w:val="22"/>
          <w:szCs w:val="22"/>
        </w:rPr>
      </w:pPr>
      <w:r>
        <w:rPr>
          <w:rStyle w:val="63"/>
          <w:rFonts w:hint="default" w:ascii="Times New Roman" w:hAnsi="Times New Roman" w:cs="Times New Roman"/>
          <w:sz w:val="21"/>
          <w:szCs w:val="22"/>
        </w:rPr>
        <w:t>import</w:t>
      </w:r>
      <w:r>
        <w:rPr>
          <w:rStyle w:val="82"/>
          <w:rFonts w:hint="default" w:ascii="Times New Roman" w:hAnsi="Times New Roman" w:cs="Times New Roman"/>
          <w:sz w:val="21"/>
          <w:szCs w:val="22"/>
        </w:rPr>
        <w:t xml:space="preserve"> warnings</w:t>
      </w:r>
      <w:r>
        <w:rPr>
          <w:rFonts w:hint="default" w:ascii="Times New Roman" w:hAnsi="Times New Roman" w:cs="Times New Roman"/>
          <w:sz w:val="22"/>
          <w:szCs w:val="22"/>
        </w:rPr>
        <w:br w:type="textWrapping"/>
      </w:r>
      <w:r>
        <w:rPr>
          <w:rStyle w:val="82"/>
          <w:rFonts w:hint="default" w:ascii="Times New Roman" w:hAnsi="Times New Roman" w:cs="Times New Roman"/>
          <w:sz w:val="21"/>
          <w:szCs w:val="22"/>
        </w:rPr>
        <w:t>warnings.filterwarnings(</w:t>
      </w:r>
      <w:r>
        <w:rPr>
          <w:rStyle w:val="60"/>
          <w:rFonts w:hint="default" w:ascii="Times New Roman" w:hAnsi="Times New Roman" w:cs="Times New Roman"/>
          <w:sz w:val="21"/>
          <w:szCs w:val="22"/>
        </w:rPr>
        <w:t>'ignore'</w:t>
      </w:r>
      <w:r>
        <w:rPr>
          <w:rStyle w:val="82"/>
          <w:rFonts w:hint="default" w:ascii="Times New Roman" w:hAnsi="Times New Roman" w:cs="Times New Roman"/>
          <w:sz w:val="21"/>
          <w:szCs w:val="22"/>
        </w:rPr>
        <w:t>)</w:t>
      </w:r>
      <w:r>
        <w:rPr>
          <w:rFonts w:hint="default" w:ascii="Times New Roman" w:hAnsi="Times New Roman" w:cs="Times New Roman"/>
          <w:sz w:val="22"/>
          <w:szCs w:val="22"/>
        </w:rPr>
        <w:br w:type="textWrapping"/>
      </w:r>
      <w:r>
        <w:rPr>
          <w:rStyle w:val="82"/>
          <w:rFonts w:hint="default" w:ascii="Times New Roman" w:hAnsi="Times New Roman" w:cs="Times New Roman"/>
          <w:sz w:val="21"/>
          <w:szCs w:val="22"/>
        </w:rPr>
        <w:t>sns.</w:t>
      </w:r>
      <w:r>
        <w:rPr>
          <w:rStyle w:val="73"/>
          <w:rFonts w:hint="default" w:ascii="Times New Roman" w:hAnsi="Times New Roman" w:cs="Times New Roman"/>
          <w:sz w:val="21"/>
          <w:szCs w:val="22"/>
        </w:rPr>
        <w:t>set</w:t>
      </w:r>
      <w:r>
        <w:rPr>
          <w:rStyle w:val="82"/>
          <w:rFonts w:hint="default" w:ascii="Times New Roman" w:hAnsi="Times New Roman" w:cs="Times New Roman"/>
          <w:sz w:val="21"/>
          <w:szCs w:val="22"/>
        </w:rPr>
        <w:t>(style</w:t>
      </w:r>
      <w:r>
        <w:rPr>
          <w:rStyle w:val="72"/>
          <w:rFonts w:hint="default" w:ascii="Times New Roman" w:hAnsi="Times New Roman" w:cs="Times New Roman"/>
          <w:sz w:val="21"/>
          <w:szCs w:val="22"/>
        </w:rPr>
        <w:t>=</w:t>
      </w:r>
      <w:r>
        <w:rPr>
          <w:rStyle w:val="60"/>
          <w:rFonts w:hint="default" w:ascii="Times New Roman" w:hAnsi="Times New Roman" w:cs="Times New Roman"/>
          <w:sz w:val="21"/>
          <w:szCs w:val="22"/>
        </w:rPr>
        <w:t>"whitegrid"</w:t>
      </w:r>
      <w:r>
        <w:rPr>
          <w:rStyle w:val="82"/>
          <w:rFonts w:hint="default" w:ascii="Times New Roman" w:hAnsi="Times New Roman" w:cs="Times New Roman"/>
          <w:sz w:val="21"/>
          <w:szCs w:val="22"/>
        </w:rPr>
        <w:t>)</w:t>
      </w:r>
      <w:r>
        <w:rPr>
          <w:rFonts w:hint="default" w:ascii="Times New Roman" w:hAnsi="Times New Roman" w:cs="Times New Roman"/>
          <w:sz w:val="22"/>
          <w:szCs w:val="22"/>
        </w:rPr>
        <w:br w:type="textWrapping"/>
      </w:r>
      <w:r>
        <w:rPr>
          <w:rStyle w:val="82"/>
          <w:rFonts w:hint="default" w:ascii="Times New Roman" w:hAnsi="Times New Roman" w:cs="Times New Roman"/>
          <w:sz w:val="21"/>
          <w:szCs w:val="22"/>
        </w:rPr>
        <w:t>plt.rcParams[</w:t>
      </w:r>
      <w:r>
        <w:rPr>
          <w:rStyle w:val="60"/>
          <w:rFonts w:hint="default" w:ascii="Times New Roman" w:hAnsi="Times New Roman" w:cs="Times New Roman"/>
          <w:sz w:val="21"/>
          <w:szCs w:val="22"/>
        </w:rPr>
        <w:t>'figure.figsize'</w:t>
      </w:r>
      <w:r>
        <w:rPr>
          <w:rStyle w:val="82"/>
          <w:rFonts w:hint="default" w:ascii="Times New Roman" w:hAnsi="Times New Roman" w:cs="Times New Roman"/>
          <w:sz w:val="21"/>
          <w:szCs w:val="22"/>
        </w:rPr>
        <w:t xml:space="preserve">] </w:t>
      </w:r>
      <w:r>
        <w:rPr>
          <w:rStyle w:val="72"/>
          <w:rFonts w:hint="default" w:ascii="Times New Roman" w:hAnsi="Times New Roman" w:cs="Times New Roman"/>
          <w:sz w:val="21"/>
          <w:szCs w:val="22"/>
        </w:rPr>
        <w:t>=</w:t>
      </w:r>
      <w:r>
        <w:rPr>
          <w:rStyle w:val="82"/>
          <w:rFonts w:hint="default" w:ascii="Times New Roman" w:hAnsi="Times New Roman" w:cs="Times New Roman"/>
          <w:sz w:val="21"/>
          <w:szCs w:val="22"/>
        </w:rPr>
        <w:t xml:space="preserve"> (</w:t>
      </w:r>
      <w:r>
        <w:rPr>
          <w:rStyle w:val="54"/>
          <w:rFonts w:hint="default" w:ascii="Times New Roman" w:hAnsi="Times New Roman" w:cs="Times New Roman"/>
          <w:sz w:val="21"/>
          <w:szCs w:val="22"/>
        </w:rPr>
        <w:t>10</w:t>
      </w:r>
      <w:r>
        <w:rPr>
          <w:rStyle w:val="82"/>
          <w:rFonts w:hint="default" w:ascii="Times New Roman" w:hAnsi="Times New Roman" w:cs="Times New Roman"/>
          <w:sz w:val="21"/>
          <w:szCs w:val="22"/>
        </w:rPr>
        <w:t xml:space="preserve">, </w:t>
      </w:r>
      <w:r>
        <w:rPr>
          <w:rStyle w:val="54"/>
          <w:rFonts w:hint="default" w:ascii="Times New Roman" w:hAnsi="Times New Roman" w:cs="Times New Roman"/>
          <w:sz w:val="21"/>
          <w:szCs w:val="22"/>
        </w:rPr>
        <w:t>6</w:t>
      </w:r>
      <w:r>
        <w:rPr>
          <w:rStyle w:val="82"/>
          <w:rFonts w:hint="default" w:ascii="Times New Roman" w:hAnsi="Times New Roman" w:cs="Times New Roman"/>
          <w:sz w:val="21"/>
          <w:szCs w:val="22"/>
        </w:rPr>
        <w:t>)</w:t>
      </w:r>
    </w:p>
    <w:bookmarkEnd w:id="64"/>
    <w:p w14:paraId="5DEE145D">
      <w:pPr>
        <w:pStyle w:val="5"/>
        <w:rPr>
          <w:rFonts w:hint="default" w:ascii="Times New Roman" w:hAnsi="Times New Roman" w:cs="Times New Roman"/>
          <w:sz w:val="24"/>
          <w:szCs w:val="24"/>
        </w:rPr>
      </w:pPr>
      <w:bookmarkStart w:id="65" w:name="X5cc1c46566ea0c6fc58b86cf66261ef41f589da"/>
      <w:r>
        <w:rPr>
          <w:rFonts w:hint="default" w:ascii="Times New Roman" w:hAnsi="Times New Roman" w:cs="Times New Roman"/>
          <w:b/>
          <w:bCs/>
          <w:sz w:val="24"/>
          <w:szCs w:val="24"/>
        </w:rPr>
        <w:t>3. Set Up Directory Structure</w:t>
      </w:r>
    </w:p>
    <w:p w14:paraId="26534A83">
      <w:pPr>
        <w:pStyle w:val="23"/>
        <w:rPr>
          <w:rFonts w:hint="default" w:ascii="Times New Roman" w:hAnsi="Times New Roman" w:cs="Times New Roman"/>
          <w:sz w:val="22"/>
          <w:szCs w:val="22"/>
        </w:rPr>
      </w:pPr>
      <w:r>
        <w:rPr>
          <w:rFonts w:hint="default" w:ascii="Times New Roman" w:hAnsi="Times New Roman" w:cs="Times New Roman"/>
          <w:sz w:val="22"/>
          <w:szCs w:val="22"/>
        </w:rPr>
        <w:t>Before running the notebook, create the required data directories to store raw, processed, and final datasets. Navigate to the project root and run the following commands (or create them manually):</w:t>
      </w:r>
    </w:p>
    <w:p w14:paraId="41DFF27B">
      <w:pPr>
        <w:pStyle w:val="49"/>
        <w:rPr>
          <w:rFonts w:hint="default" w:ascii="Times New Roman" w:hAnsi="Times New Roman" w:cs="Times New Roman"/>
          <w:sz w:val="22"/>
          <w:szCs w:val="22"/>
        </w:rPr>
      </w:pPr>
      <w:r>
        <w:rPr>
          <w:rStyle w:val="48"/>
          <w:rFonts w:hint="default" w:ascii="Times New Roman" w:hAnsi="Times New Roman" w:cs="Times New Roman"/>
          <w:sz w:val="21"/>
          <w:szCs w:val="22"/>
        </w:rPr>
        <w:t>mkdir data</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cd data</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mkdir raw_dataset</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mkdir final_dataset</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mkdir processed</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cd processed</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mkdir Feature-Engineered</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mkdir initially_cleaned_dataset</w:t>
      </w:r>
      <w:r>
        <w:rPr>
          <w:rFonts w:hint="default" w:ascii="Times New Roman" w:hAnsi="Times New Roman" w:cs="Times New Roman"/>
          <w:sz w:val="22"/>
          <w:szCs w:val="22"/>
        </w:rPr>
        <w:br w:type="textWrapping"/>
      </w:r>
      <w:r>
        <w:rPr>
          <w:rStyle w:val="48"/>
          <w:rFonts w:hint="default" w:ascii="Times New Roman" w:hAnsi="Times New Roman" w:cs="Times New Roman"/>
          <w:sz w:val="21"/>
          <w:szCs w:val="22"/>
        </w:rPr>
        <w:t>cd .../..</w:t>
      </w:r>
    </w:p>
    <w:p w14:paraId="3DAC0629">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will result in the following structure under </w:t>
      </w:r>
      <w:r>
        <w:rPr>
          <w:rStyle w:val="48"/>
          <w:rFonts w:hint="default" w:ascii="Times New Roman" w:hAnsi="Times New Roman" w:cs="Times New Roman"/>
          <w:sz w:val="21"/>
          <w:szCs w:val="22"/>
        </w:rPr>
        <w:t>data/</w:t>
      </w:r>
      <w:r>
        <w:rPr>
          <w:rFonts w:hint="default" w:ascii="Times New Roman" w:hAnsi="Times New Roman" w:cs="Times New Roman"/>
          <w:sz w:val="22"/>
          <w:szCs w:val="22"/>
        </w:rPr>
        <w:t>:</w:t>
      </w:r>
    </w:p>
    <w:p w14:paraId="15C3B54C">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raw_dataset/</w:t>
      </w:r>
      <w:r>
        <w:rPr>
          <w:rFonts w:hint="default" w:ascii="Times New Roman" w:hAnsi="Times New Roman" w:cs="Times New Roman"/>
          <w:sz w:val="22"/>
          <w:szCs w:val="22"/>
        </w:rPr>
        <w:t xml:space="preserve"> (for original datasets like </w:t>
      </w:r>
      <w:r>
        <w:rPr>
          <w:rStyle w:val="48"/>
          <w:rFonts w:hint="default" w:ascii="Times New Roman" w:hAnsi="Times New Roman" w:cs="Times New Roman"/>
          <w:sz w:val="21"/>
          <w:szCs w:val="22"/>
        </w:rPr>
        <w:t>application_data.csv</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columns_description.csv</w:t>
      </w:r>
      <w:r>
        <w:rPr>
          <w:rFonts w:hint="default" w:ascii="Times New Roman" w:hAnsi="Times New Roman" w:cs="Times New Roman"/>
          <w:sz w:val="22"/>
          <w:szCs w:val="22"/>
        </w:rPr>
        <w:t>)</w:t>
      </w:r>
    </w:p>
    <w:p w14:paraId="5836DD97">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final_dataset/</w:t>
      </w:r>
      <w:r>
        <w:rPr>
          <w:rFonts w:hint="default" w:ascii="Times New Roman" w:hAnsi="Times New Roman" w:cs="Times New Roman"/>
          <w:sz w:val="22"/>
          <w:szCs w:val="22"/>
        </w:rPr>
        <w:t xml:space="preserve"> (for the assembled final dataset like </w:t>
      </w:r>
      <w:r>
        <w:rPr>
          <w:rStyle w:val="48"/>
          <w:rFonts w:hint="default" w:ascii="Times New Roman" w:hAnsi="Times New Roman" w:cs="Times New Roman"/>
          <w:sz w:val="21"/>
          <w:szCs w:val="22"/>
        </w:rPr>
        <w:t>final_dataset.csv</w:t>
      </w:r>
      <w:r>
        <w:rPr>
          <w:rFonts w:hint="default" w:ascii="Times New Roman" w:hAnsi="Times New Roman" w:cs="Times New Roman"/>
          <w:sz w:val="22"/>
          <w:szCs w:val="22"/>
        </w:rPr>
        <w:t>)</w:t>
      </w:r>
    </w:p>
    <w:p w14:paraId="0E5662F4">
      <w:pPr>
        <w:pStyle w:val="24"/>
        <w:numPr>
          <w:ilvl w:val="0"/>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processed/</w:t>
      </w:r>
    </w:p>
    <w:p w14:paraId="784DAEF0">
      <w:pPr>
        <w:pStyle w:val="24"/>
        <w:numPr>
          <w:ilvl w:val="1"/>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Feature-Engineered/</w:t>
      </w:r>
      <w:r>
        <w:rPr>
          <w:rFonts w:hint="default" w:ascii="Times New Roman" w:hAnsi="Times New Roman" w:cs="Times New Roman"/>
          <w:sz w:val="22"/>
          <w:szCs w:val="22"/>
        </w:rPr>
        <w:t xml:space="preserve"> (for engineered files like </w:t>
      </w:r>
      <w:r>
        <w:rPr>
          <w:rStyle w:val="48"/>
          <w:rFonts w:hint="default" w:ascii="Times New Roman" w:hAnsi="Times New Roman" w:cs="Times New Roman"/>
          <w:sz w:val="21"/>
          <w:szCs w:val="22"/>
        </w:rPr>
        <w:t>application_data.csv</w:t>
      </w:r>
      <w:r>
        <w:rPr>
          <w:rFonts w:hint="default" w:ascii="Times New Roman" w:hAnsi="Times New Roman" w:cs="Times New Roman"/>
          <w:sz w:val="22"/>
          <w:szCs w:val="22"/>
        </w:rPr>
        <w:t xml:space="preserve"> and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w:t>
      </w:r>
    </w:p>
    <w:p w14:paraId="7823330B">
      <w:pPr>
        <w:pStyle w:val="24"/>
        <w:numPr>
          <w:ilvl w:val="1"/>
          <w:numId w:val="1"/>
        </w:numPr>
        <w:rPr>
          <w:rFonts w:hint="default" w:ascii="Times New Roman" w:hAnsi="Times New Roman" w:cs="Times New Roman"/>
          <w:sz w:val="22"/>
          <w:szCs w:val="22"/>
        </w:rPr>
      </w:pPr>
      <w:r>
        <w:rPr>
          <w:rStyle w:val="48"/>
          <w:rFonts w:hint="default" w:ascii="Times New Roman" w:hAnsi="Times New Roman" w:cs="Times New Roman"/>
          <w:sz w:val="21"/>
          <w:szCs w:val="22"/>
        </w:rPr>
        <w:t>initially_cleaned_dataset/</w:t>
      </w:r>
      <w:r>
        <w:rPr>
          <w:rFonts w:hint="default" w:ascii="Times New Roman" w:hAnsi="Times New Roman" w:cs="Times New Roman"/>
          <w:sz w:val="22"/>
          <w:szCs w:val="22"/>
        </w:rPr>
        <w:t xml:space="preserve"> (for initial cleaning outputs)</w:t>
      </w:r>
    </w:p>
    <w:p w14:paraId="05C3ED5F">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Place your raw datasets (e.g., </w:t>
      </w:r>
      <w:r>
        <w:rPr>
          <w:rStyle w:val="48"/>
          <w:rFonts w:hint="default" w:ascii="Times New Roman" w:hAnsi="Times New Roman" w:cs="Times New Roman"/>
          <w:sz w:val="21"/>
          <w:szCs w:val="22"/>
        </w:rPr>
        <w:t>application_data.csv</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previous_application.csv</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columns_description.csv</w:t>
      </w:r>
      <w:r>
        <w:rPr>
          <w:rFonts w:hint="default" w:ascii="Times New Roman" w:hAnsi="Times New Roman" w:cs="Times New Roman"/>
          <w:sz w:val="22"/>
          <w:szCs w:val="22"/>
        </w:rPr>
        <w:t xml:space="preserve">) into </w:t>
      </w:r>
      <w:r>
        <w:rPr>
          <w:rStyle w:val="48"/>
          <w:rFonts w:hint="default" w:ascii="Times New Roman" w:hAnsi="Times New Roman" w:cs="Times New Roman"/>
          <w:sz w:val="21"/>
          <w:szCs w:val="22"/>
        </w:rPr>
        <w:t>data/raw_dataset/</w:t>
      </w:r>
      <w:r>
        <w:rPr>
          <w:rFonts w:hint="default" w:ascii="Times New Roman" w:hAnsi="Times New Roman" w:cs="Times New Roman"/>
          <w:sz w:val="22"/>
          <w:szCs w:val="22"/>
        </w:rPr>
        <w:t xml:space="preserve"> before proceeding.</w:t>
      </w:r>
    </w:p>
    <w:bookmarkEnd w:id="65"/>
    <w:p w14:paraId="36610479">
      <w:pPr>
        <w:pStyle w:val="5"/>
        <w:rPr>
          <w:rFonts w:hint="default" w:ascii="Times New Roman" w:hAnsi="Times New Roman" w:cs="Times New Roman"/>
          <w:sz w:val="24"/>
          <w:szCs w:val="24"/>
        </w:rPr>
      </w:pPr>
      <w:bookmarkStart w:id="66" w:name="X02186d3cc3bb1d60ca809a834c395f6357b60ad"/>
      <w:r>
        <w:rPr>
          <w:rFonts w:hint="default" w:ascii="Times New Roman" w:hAnsi="Times New Roman" w:cs="Times New Roman"/>
          <w:b/>
          <w:bCs/>
          <w:sz w:val="24"/>
          <w:szCs w:val="24"/>
        </w:rPr>
        <w:t>4. Run the Notebook Step by Step</w:t>
      </w:r>
    </w:p>
    <w:p w14:paraId="09A46299">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main code for data exploration, cleaning, feature engineering, analysis, and visualization is in </w:t>
      </w:r>
      <w:r>
        <w:rPr>
          <w:rStyle w:val="48"/>
          <w:rFonts w:hint="default" w:ascii="Times New Roman" w:hAnsi="Times New Roman" w:cs="Times New Roman"/>
          <w:sz w:val="21"/>
          <w:szCs w:val="22"/>
        </w:rPr>
        <w:t>src/code.ipynb</w:t>
      </w:r>
      <w:r>
        <w:rPr>
          <w:rFonts w:hint="default" w:ascii="Times New Roman" w:hAnsi="Times New Roman" w:cs="Times New Roman"/>
          <w:sz w:val="22"/>
          <w:szCs w:val="22"/>
        </w:rPr>
        <w:t>. To run it:</w:t>
      </w:r>
    </w:p>
    <w:p w14:paraId="388CCAB7">
      <w:pPr>
        <w:numPr>
          <w:ilvl w:val="0"/>
          <w:numId w:val="6"/>
        </w:numPr>
        <w:rPr>
          <w:rFonts w:hint="default" w:ascii="Times New Roman" w:hAnsi="Times New Roman" w:cs="Times New Roman"/>
          <w:sz w:val="22"/>
          <w:szCs w:val="22"/>
        </w:rPr>
      </w:pPr>
      <w:r>
        <w:rPr>
          <w:rFonts w:hint="default" w:ascii="Times New Roman" w:hAnsi="Times New Roman" w:cs="Times New Roman"/>
          <w:sz w:val="22"/>
          <w:szCs w:val="22"/>
        </w:rPr>
        <w:t>Launch Jupyter Notebook:</w:t>
      </w:r>
    </w:p>
    <w:p w14:paraId="5ED4FBBB">
      <w:pPr>
        <w:pStyle w:val="49"/>
        <w:numPr>
          <w:ilvl w:val="0"/>
          <w:numId w:val="3"/>
        </w:numPr>
        <w:rPr>
          <w:rFonts w:hint="default" w:ascii="Times New Roman" w:hAnsi="Times New Roman" w:cs="Times New Roman"/>
          <w:sz w:val="22"/>
          <w:szCs w:val="22"/>
        </w:rPr>
      </w:pPr>
      <w:r>
        <w:rPr>
          <w:rStyle w:val="48"/>
          <w:rFonts w:hint="default" w:ascii="Times New Roman" w:hAnsi="Times New Roman" w:cs="Times New Roman"/>
          <w:sz w:val="21"/>
          <w:szCs w:val="22"/>
        </w:rPr>
        <w:t>jupyter notebook</w:t>
      </w:r>
    </w:p>
    <w:p w14:paraId="4F54DC4B">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Or use JupyterLab:</w:t>
      </w:r>
    </w:p>
    <w:p w14:paraId="6F70ACBC">
      <w:pPr>
        <w:pStyle w:val="49"/>
        <w:numPr>
          <w:ilvl w:val="0"/>
          <w:numId w:val="3"/>
        </w:numPr>
        <w:rPr>
          <w:rFonts w:hint="default" w:ascii="Times New Roman" w:hAnsi="Times New Roman" w:cs="Times New Roman"/>
          <w:sz w:val="22"/>
          <w:szCs w:val="22"/>
        </w:rPr>
      </w:pPr>
      <w:r>
        <w:rPr>
          <w:rStyle w:val="48"/>
          <w:rFonts w:hint="default" w:ascii="Times New Roman" w:hAnsi="Times New Roman" w:cs="Times New Roman"/>
          <w:sz w:val="21"/>
          <w:szCs w:val="22"/>
        </w:rPr>
        <w:t>jupyter lab</w:t>
      </w:r>
    </w:p>
    <w:p w14:paraId="1A21DE6B">
      <w:pPr>
        <w:numPr>
          <w:ilvl w:val="0"/>
          <w:numId w:val="6"/>
        </w:numPr>
        <w:rPr>
          <w:rFonts w:hint="default" w:ascii="Times New Roman" w:hAnsi="Times New Roman" w:cs="Times New Roman"/>
          <w:sz w:val="22"/>
          <w:szCs w:val="22"/>
        </w:rPr>
      </w:pPr>
      <w:r>
        <w:rPr>
          <w:rFonts w:hint="default" w:ascii="Times New Roman" w:hAnsi="Times New Roman" w:cs="Times New Roman"/>
          <w:sz w:val="22"/>
          <w:szCs w:val="22"/>
        </w:rPr>
        <w:t xml:space="preserve">Open </w:t>
      </w:r>
      <w:r>
        <w:rPr>
          <w:rStyle w:val="48"/>
          <w:rFonts w:hint="default" w:ascii="Times New Roman" w:hAnsi="Times New Roman" w:cs="Times New Roman"/>
          <w:sz w:val="21"/>
          <w:szCs w:val="22"/>
        </w:rPr>
        <w:t>src/code.ipynb</w:t>
      </w:r>
      <w:r>
        <w:rPr>
          <w:rFonts w:hint="default" w:ascii="Times New Roman" w:hAnsi="Times New Roman" w:cs="Times New Roman"/>
          <w:sz w:val="22"/>
          <w:szCs w:val="22"/>
        </w:rPr>
        <w:t xml:space="preserve"> in your browser.</w:t>
      </w:r>
    </w:p>
    <w:p w14:paraId="3FAA526A">
      <w:pPr>
        <w:numPr>
          <w:ilvl w:val="0"/>
          <w:numId w:val="6"/>
        </w:numPr>
        <w:rPr>
          <w:rFonts w:hint="default" w:ascii="Times New Roman" w:hAnsi="Times New Roman" w:cs="Times New Roman"/>
          <w:sz w:val="22"/>
          <w:szCs w:val="22"/>
        </w:rPr>
      </w:pPr>
      <w:r>
        <w:rPr>
          <w:rFonts w:hint="default" w:ascii="Times New Roman" w:hAnsi="Times New Roman" w:cs="Times New Roman"/>
          <w:sz w:val="22"/>
          <w:szCs w:val="22"/>
        </w:rPr>
        <w:t>Execute the cells step by step:</w:t>
      </w:r>
    </w:p>
    <w:p w14:paraId="19975D71">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Initial Setup Cells</w:t>
      </w:r>
      <w:r>
        <w:rPr>
          <w:rFonts w:hint="default" w:ascii="Times New Roman" w:hAnsi="Times New Roman" w:cs="Times New Roman"/>
          <w:sz w:val="22"/>
          <w:szCs w:val="22"/>
        </w:rPr>
        <w:t>: Import libraries and set configurations (e.g., warnings, visualization styles).</w:t>
      </w:r>
    </w:p>
    <w:p w14:paraId="12CA2A8E">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Data Loading Cells</w:t>
      </w:r>
      <w:r>
        <w:rPr>
          <w:rFonts w:hint="default" w:ascii="Times New Roman" w:hAnsi="Times New Roman" w:cs="Times New Roman"/>
          <w:sz w:val="22"/>
          <w:szCs w:val="22"/>
        </w:rPr>
        <w:t xml:space="preserve">: Load datasets from </w:t>
      </w:r>
      <w:r>
        <w:rPr>
          <w:rStyle w:val="48"/>
          <w:rFonts w:hint="default" w:ascii="Times New Roman" w:hAnsi="Times New Roman" w:cs="Times New Roman"/>
          <w:sz w:val="21"/>
          <w:szCs w:val="22"/>
        </w:rPr>
        <w:t>data/raw_dataset/</w:t>
      </w:r>
      <w:r>
        <w:rPr>
          <w:rFonts w:hint="default" w:ascii="Times New Roman" w:hAnsi="Times New Roman" w:cs="Times New Roman"/>
          <w:sz w:val="22"/>
          <w:szCs w:val="22"/>
        </w:rPr>
        <w:t xml:space="preserve"> using </w:t>
      </w:r>
      <w:r>
        <w:rPr>
          <w:rStyle w:val="48"/>
          <w:rFonts w:hint="default" w:ascii="Times New Roman" w:hAnsi="Times New Roman" w:cs="Times New Roman"/>
          <w:sz w:val="21"/>
          <w:szCs w:val="22"/>
        </w:rPr>
        <w:t>pandas</w:t>
      </w:r>
      <w:r>
        <w:rPr>
          <w:rFonts w:hint="default" w:ascii="Times New Roman" w:hAnsi="Times New Roman" w:cs="Times New Roman"/>
          <w:sz w:val="22"/>
          <w:szCs w:val="22"/>
        </w:rPr>
        <w:t xml:space="preserve"> (e.g., </w:t>
      </w:r>
      <w:r>
        <w:rPr>
          <w:rStyle w:val="48"/>
          <w:rFonts w:hint="default" w:ascii="Times New Roman" w:hAnsi="Times New Roman" w:cs="Times New Roman"/>
          <w:sz w:val="21"/>
          <w:szCs w:val="22"/>
        </w:rPr>
        <w:t>pd.read_csv('data/raw_dataset/application_data.csv')</w:t>
      </w:r>
      <w:r>
        <w:rPr>
          <w:rFonts w:hint="default" w:ascii="Times New Roman" w:hAnsi="Times New Roman" w:cs="Times New Roman"/>
          <w:sz w:val="22"/>
          <w:szCs w:val="22"/>
        </w:rPr>
        <w:t>).</w:t>
      </w:r>
    </w:p>
    <w:p w14:paraId="4E90E915">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Data Cleaning Cells</w:t>
      </w:r>
      <w:r>
        <w:rPr>
          <w:rFonts w:hint="default" w:ascii="Times New Roman" w:hAnsi="Times New Roman" w:cs="Times New Roman"/>
          <w:sz w:val="22"/>
          <w:szCs w:val="22"/>
        </w:rPr>
        <w:t xml:space="preserve">: Handle missing values, outliers, and anomalies (e.g., capping income, fixing </w:t>
      </w:r>
      <w:r>
        <w:rPr>
          <w:rStyle w:val="48"/>
          <w:rFonts w:hint="default" w:ascii="Times New Roman" w:hAnsi="Times New Roman" w:cs="Times New Roman"/>
          <w:sz w:val="21"/>
          <w:szCs w:val="22"/>
        </w:rPr>
        <w:t>DAYS_EMPLOYED</w:t>
      </w:r>
      <w:r>
        <w:rPr>
          <w:rFonts w:hint="default" w:ascii="Times New Roman" w:hAnsi="Times New Roman" w:cs="Times New Roman"/>
          <w:sz w:val="22"/>
          <w:szCs w:val="22"/>
        </w:rPr>
        <w:t>).</w:t>
      </w:r>
    </w:p>
    <w:p w14:paraId="4DFDDFDB">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Exploratory Data Analysis (EDA) Cells</w:t>
      </w:r>
      <w:r>
        <w:rPr>
          <w:rFonts w:hint="default" w:ascii="Times New Roman" w:hAnsi="Times New Roman" w:cs="Times New Roman"/>
          <w:sz w:val="22"/>
          <w:szCs w:val="22"/>
        </w:rPr>
        <w:t xml:space="preserve">: Generate distributions, boxplots, and insights using </w:t>
      </w:r>
      <w:r>
        <w:rPr>
          <w:rStyle w:val="48"/>
          <w:rFonts w:hint="default" w:ascii="Times New Roman" w:hAnsi="Times New Roman" w:cs="Times New Roman"/>
          <w:sz w:val="21"/>
          <w:szCs w:val="22"/>
        </w:rPr>
        <w:t>seaborn</w:t>
      </w:r>
      <w:r>
        <w:rPr>
          <w:rFonts w:hint="default" w:ascii="Times New Roman" w:hAnsi="Times New Roman" w:cs="Times New Roman"/>
          <w:sz w:val="22"/>
          <w:szCs w:val="22"/>
        </w:rPr>
        <w:t xml:space="preserve">, </w:t>
      </w:r>
      <w:r>
        <w:rPr>
          <w:rStyle w:val="48"/>
          <w:rFonts w:hint="default" w:ascii="Times New Roman" w:hAnsi="Times New Roman" w:cs="Times New Roman"/>
          <w:sz w:val="21"/>
          <w:szCs w:val="22"/>
        </w:rPr>
        <w:t>matplotlib</w:t>
      </w:r>
      <w:r>
        <w:rPr>
          <w:rFonts w:hint="default" w:ascii="Times New Roman" w:hAnsi="Times New Roman" w:cs="Times New Roman"/>
          <w:sz w:val="22"/>
          <w:szCs w:val="22"/>
        </w:rPr>
        <w:t xml:space="preserve">, and </w:t>
      </w:r>
      <w:r>
        <w:rPr>
          <w:rStyle w:val="48"/>
          <w:rFonts w:hint="default" w:ascii="Times New Roman" w:hAnsi="Times New Roman" w:cs="Times New Roman"/>
          <w:sz w:val="21"/>
          <w:szCs w:val="22"/>
        </w:rPr>
        <w:t>plotly</w:t>
      </w:r>
      <w:r>
        <w:rPr>
          <w:rFonts w:hint="default" w:ascii="Times New Roman" w:hAnsi="Times New Roman" w:cs="Times New Roman"/>
          <w:sz w:val="22"/>
          <w:szCs w:val="22"/>
        </w:rPr>
        <w:t xml:space="preserve"> (e.g., target distribution, contract type counts).</w:t>
      </w:r>
    </w:p>
    <w:p w14:paraId="4048C575">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Feature Engineering Cells</w:t>
      </w:r>
      <w:r>
        <w:rPr>
          <w:rFonts w:hint="default" w:ascii="Times New Roman" w:hAnsi="Times New Roman" w:cs="Times New Roman"/>
          <w:sz w:val="22"/>
          <w:szCs w:val="22"/>
        </w:rPr>
        <w:t>: Create new features like ratios (</w:t>
      </w:r>
      <w:r>
        <w:rPr>
          <w:rStyle w:val="48"/>
          <w:rFonts w:hint="default" w:ascii="Times New Roman" w:hAnsi="Times New Roman" w:cs="Times New Roman"/>
          <w:sz w:val="21"/>
          <w:szCs w:val="22"/>
        </w:rPr>
        <w:t>INCOME_TO_CREDIT_RATIO</w:t>
      </w:r>
      <w:r>
        <w:rPr>
          <w:rFonts w:hint="default" w:ascii="Times New Roman" w:hAnsi="Times New Roman" w:cs="Times New Roman"/>
          <w:sz w:val="22"/>
          <w:szCs w:val="22"/>
        </w:rPr>
        <w:t>), binaries (</w:t>
      </w:r>
      <w:r>
        <w:rPr>
          <w:rStyle w:val="48"/>
          <w:rFonts w:hint="default" w:ascii="Times New Roman" w:hAnsi="Times New Roman" w:cs="Times New Roman"/>
          <w:sz w:val="21"/>
          <w:szCs w:val="22"/>
        </w:rPr>
        <w:t>HAS_CHILDREN</w:t>
      </w:r>
      <w:r>
        <w:rPr>
          <w:rFonts w:hint="default" w:ascii="Times New Roman" w:hAnsi="Times New Roman" w:cs="Times New Roman"/>
          <w:sz w:val="22"/>
          <w:szCs w:val="22"/>
        </w:rPr>
        <w:t xml:space="preserve">), and aggregates; save to </w:t>
      </w:r>
      <w:r>
        <w:rPr>
          <w:rStyle w:val="48"/>
          <w:rFonts w:hint="default" w:ascii="Times New Roman" w:hAnsi="Times New Roman" w:cs="Times New Roman"/>
          <w:sz w:val="21"/>
          <w:szCs w:val="22"/>
        </w:rPr>
        <w:t>data/processed/Feature-Engineered/</w:t>
      </w:r>
      <w:r>
        <w:rPr>
          <w:rFonts w:hint="default" w:ascii="Times New Roman" w:hAnsi="Times New Roman" w:cs="Times New Roman"/>
          <w:sz w:val="22"/>
          <w:szCs w:val="22"/>
        </w:rPr>
        <w:t>.</w:t>
      </w:r>
    </w:p>
    <w:p w14:paraId="4A0940AE">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Merging and Final Assembly Cells</w:t>
      </w:r>
      <w:r>
        <w:rPr>
          <w:rFonts w:hint="default" w:ascii="Times New Roman" w:hAnsi="Times New Roman" w:cs="Times New Roman"/>
          <w:sz w:val="22"/>
          <w:szCs w:val="22"/>
        </w:rPr>
        <w:t xml:space="preserve">: Merge datasets, impute remaining misses, and export to </w:t>
      </w:r>
      <w:r>
        <w:rPr>
          <w:rStyle w:val="48"/>
          <w:rFonts w:hint="default" w:ascii="Times New Roman" w:hAnsi="Times New Roman" w:cs="Times New Roman"/>
          <w:sz w:val="21"/>
          <w:szCs w:val="22"/>
        </w:rPr>
        <w:t>data/final_dataset/final_dataset.csv</w:t>
      </w:r>
      <w:r>
        <w:rPr>
          <w:rFonts w:hint="default" w:ascii="Times New Roman" w:hAnsi="Times New Roman" w:cs="Times New Roman"/>
          <w:sz w:val="22"/>
          <w:szCs w:val="22"/>
        </w:rPr>
        <w:t>.</w:t>
      </w:r>
    </w:p>
    <w:p w14:paraId="059B560C">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Deep Analysis Cells</w:t>
      </w:r>
      <w:r>
        <w:rPr>
          <w:rFonts w:hint="default" w:ascii="Times New Roman" w:hAnsi="Times New Roman" w:cs="Times New Roman"/>
          <w:sz w:val="22"/>
          <w:szCs w:val="22"/>
        </w:rPr>
        <w:t>: Perform univariate, bivariate, multivariate analysis; correlation heatmaps; outlier detection; feature importance with RandomForestClassifier; risk scoring.</w:t>
      </w:r>
    </w:p>
    <w:p w14:paraId="019292E7">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Visualization Cells</w:t>
      </w:r>
      <w:r>
        <w:rPr>
          <w:rFonts w:hint="default" w:ascii="Times New Roman" w:hAnsi="Times New Roman" w:cs="Times New Roman"/>
          <w:sz w:val="22"/>
          <w:szCs w:val="22"/>
        </w:rPr>
        <w:t xml:space="preserve">: Generate plots and save them to </w:t>
      </w:r>
      <w:r>
        <w:rPr>
          <w:rStyle w:val="48"/>
          <w:rFonts w:hint="default" w:ascii="Times New Roman" w:hAnsi="Times New Roman" w:cs="Times New Roman"/>
          <w:sz w:val="21"/>
          <w:szCs w:val="22"/>
        </w:rPr>
        <w:t>output/</w:t>
      </w:r>
      <w:r>
        <w:rPr>
          <w:rFonts w:hint="default" w:ascii="Times New Roman" w:hAnsi="Times New Roman" w:cs="Times New Roman"/>
          <w:sz w:val="22"/>
          <w:szCs w:val="22"/>
        </w:rPr>
        <w:t xml:space="preserve"> or </w:t>
      </w:r>
      <w:r>
        <w:rPr>
          <w:rStyle w:val="48"/>
          <w:rFonts w:hint="default" w:ascii="Times New Roman" w:hAnsi="Times New Roman" w:cs="Times New Roman"/>
          <w:sz w:val="21"/>
          <w:szCs w:val="22"/>
        </w:rPr>
        <w:t>charts/Analysis/</w:t>
      </w:r>
      <w:r>
        <w:rPr>
          <w:rFonts w:hint="default" w:ascii="Times New Roman" w:hAnsi="Times New Roman" w:cs="Times New Roman"/>
          <w:sz w:val="22"/>
          <w:szCs w:val="22"/>
        </w:rPr>
        <w:t xml:space="preserve"> (e.g., histograms, countplots, default rate by quintiles).</w:t>
      </w:r>
    </w:p>
    <w:p w14:paraId="2CD2EC44">
      <w:pPr>
        <w:numPr>
          <w:ilvl w:val="0"/>
          <w:numId w:val="3"/>
        </w:numPr>
        <w:rPr>
          <w:rFonts w:hint="default" w:ascii="Times New Roman" w:hAnsi="Times New Roman" w:cs="Times New Roman"/>
          <w:sz w:val="22"/>
          <w:szCs w:val="22"/>
        </w:rPr>
      </w:pPr>
      <w:r>
        <w:rPr>
          <w:rFonts w:hint="default" w:ascii="Times New Roman" w:hAnsi="Times New Roman" w:cs="Times New Roman"/>
          <w:sz w:val="22"/>
          <w:szCs w:val="22"/>
        </w:rPr>
        <w:t>Run each cell sequentially, checking outputs for errors. The notebook assumes the directory structure is set up as described. If issues arise (e.g., file not found), verify paths and dataset placement.</w:t>
      </w:r>
    </w:p>
    <w:p w14:paraId="14523E3A">
      <w:pPr>
        <w:pStyle w:val="23"/>
        <w:rPr>
          <w:rFonts w:hint="default" w:ascii="Times New Roman" w:hAnsi="Times New Roman" w:cs="Times New Roman"/>
          <w:sz w:val="22"/>
          <w:szCs w:val="22"/>
        </w:rPr>
      </w:pPr>
      <w:r>
        <w:rPr>
          <w:rFonts w:hint="default" w:ascii="Times New Roman" w:hAnsi="Times New Roman" w:cs="Times New Roman"/>
          <w:sz w:val="22"/>
          <w:szCs w:val="22"/>
        </w:rPr>
        <w:t>After running, the processed files, final dataset, and visualizations will be generated in the respective folders. This sets the foundation for the Power BI dashboard.</w:t>
      </w:r>
    </w:p>
    <w:bookmarkEnd w:id="62"/>
    <w:bookmarkEnd w:id="66"/>
    <w:p w14:paraId="1B9E8B7A">
      <w:pPr>
        <w:pStyle w:val="2"/>
        <w:rPr>
          <w:rFonts w:hint="default" w:ascii="Times New Roman" w:hAnsi="Times New Roman" w:cs="Times New Roman"/>
          <w:sz w:val="36"/>
          <w:szCs w:val="36"/>
        </w:rPr>
      </w:pPr>
      <w:bookmarkStart w:id="67" w:name="contact-us"/>
      <w:r>
        <w:rPr>
          <w:rFonts w:hint="default" w:ascii="Times New Roman" w:hAnsi="Times New Roman" w:cs="Times New Roman"/>
          <w:b/>
          <w:bCs/>
          <w:sz w:val="36"/>
          <w:szCs w:val="36"/>
        </w:rPr>
        <w:t>Contact Us</w:t>
      </w:r>
    </w:p>
    <w:p w14:paraId="143D773F">
      <w:pPr>
        <w:pStyle w:val="23"/>
        <w:rPr>
          <w:rFonts w:hint="default" w:ascii="Times New Roman" w:hAnsi="Times New Roman" w:cs="Times New Roman"/>
          <w:sz w:val="22"/>
          <w:szCs w:val="22"/>
        </w:rPr>
      </w:pPr>
      <w:r>
        <w:rPr>
          <w:rFonts w:hint="default" w:ascii="Times New Roman" w:hAnsi="Times New Roman" w:cs="Times New Roman"/>
          <w:sz w:val="22"/>
          <w:szCs w:val="22"/>
        </w:rPr>
        <w:t>For questions, collaborations, or further details, please reach out our Team Technerds members:</w:t>
      </w:r>
    </w:p>
    <w:p w14:paraId="56544FBF">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Name: Shib Kumar Saraf</w:t>
      </w:r>
    </w:p>
    <w:p w14:paraId="67DB3987">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Email: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"mailto:21f1001520@ds.study.iitm.ac.in" \h </w:instrText>
      </w:r>
      <w:r>
        <w:rPr>
          <w:rFonts w:hint="default" w:ascii="Times New Roman" w:hAnsi="Times New Roman" w:cs="Times New Roman"/>
          <w:sz w:val="22"/>
          <w:szCs w:val="22"/>
        </w:rPr>
        <w:fldChar w:fldCharType="separate"/>
      </w:r>
      <w:r>
        <w:rPr>
          <w:rStyle w:val="21"/>
          <w:rFonts w:hint="default" w:ascii="Times New Roman" w:hAnsi="Times New Roman" w:cs="Times New Roman"/>
          <w:sz w:val="22"/>
          <w:szCs w:val="22"/>
        </w:rPr>
        <w:t>21f1001520@ds.study.iitm.ac.in</w:t>
      </w:r>
      <w:r>
        <w:rPr>
          <w:rStyle w:val="21"/>
          <w:rFonts w:hint="default" w:ascii="Times New Roman" w:hAnsi="Times New Roman" w:cs="Times New Roman"/>
          <w:sz w:val="22"/>
          <w:szCs w:val="22"/>
        </w:rPr>
        <w:fldChar w:fldCharType="end"/>
      </w:r>
    </w:p>
    <w:p w14:paraId="0CB73EFB">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Name: Suraaj Jain</w:t>
      </w:r>
    </w:p>
    <w:p w14:paraId="526E12E7">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Email: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"mailto:22f3002242@ds.study.iitm.ac.in" \h </w:instrText>
      </w:r>
      <w:r>
        <w:rPr>
          <w:rFonts w:hint="default" w:ascii="Times New Roman" w:hAnsi="Times New Roman" w:cs="Times New Roman"/>
          <w:sz w:val="22"/>
          <w:szCs w:val="22"/>
        </w:rPr>
        <w:fldChar w:fldCharType="separate"/>
      </w:r>
      <w:r>
        <w:rPr>
          <w:rStyle w:val="21"/>
          <w:rFonts w:hint="default" w:ascii="Times New Roman" w:hAnsi="Times New Roman" w:cs="Times New Roman"/>
          <w:sz w:val="22"/>
          <w:szCs w:val="22"/>
        </w:rPr>
        <w:t>22f3002242@ds.study.iitm.ac.in</w:t>
      </w:r>
      <w:r>
        <w:rPr>
          <w:rStyle w:val="21"/>
          <w:rFonts w:hint="default" w:ascii="Times New Roman" w:hAnsi="Times New Roman" w:cs="Times New Roman"/>
          <w:sz w:val="22"/>
          <w:szCs w:val="22"/>
        </w:rPr>
        <w:fldChar w:fldCharType="end"/>
      </w:r>
    </w:p>
    <w:p w14:paraId="6BEFF8F1">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Name: Supreeth Rao</w:t>
      </w:r>
    </w:p>
    <w:p w14:paraId="2A1AE0FE">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Email: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"mailto:21f1002726@ds.study.iitm.ac.in" \h </w:instrText>
      </w:r>
      <w:r>
        <w:rPr>
          <w:rFonts w:hint="default" w:ascii="Times New Roman" w:hAnsi="Times New Roman" w:cs="Times New Roman"/>
          <w:sz w:val="22"/>
          <w:szCs w:val="22"/>
        </w:rPr>
        <w:fldChar w:fldCharType="separate"/>
      </w:r>
      <w:r>
        <w:rPr>
          <w:rStyle w:val="21"/>
          <w:rFonts w:hint="default" w:ascii="Times New Roman" w:hAnsi="Times New Roman" w:cs="Times New Roman"/>
          <w:sz w:val="22"/>
          <w:szCs w:val="22"/>
        </w:rPr>
        <w:t>21f1002726@ds.study.iitm.ac.in</w:t>
      </w:r>
      <w:r>
        <w:rPr>
          <w:rStyle w:val="21"/>
          <w:rFonts w:hint="default" w:ascii="Times New Roman" w:hAnsi="Times New Roman" w:cs="Times New Roman"/>
          <w:sz w:val="22"/>
          <w:szCs w:val="22"/>
        </w:rPr>
        <w:fldChar w:fldCharType="end"/>
      </w:r>
    </w:p>
    <w:p w14:paraId="5C2566E9">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Name: Kanishk Kumar</w:t>
      </w:r>
    </w:p>
    <w:p w14:paraId="42861402">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 xml:space="preserve">Email: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"mailto:22f1000386@ds.study.iitm.ac.in" \h </w:instrText>
      </w:r>
      <w:r>
        <w:rPr>
          <w:rFonts w:hint="default" w:ascii="Times New Roman" w:hAnsi="Times New Roman" w:cs="Times New Roman"/>
          <w:sz w:val="22"/>
          <w:szCs w:val="22"/>
        </w:rPr>
        <w:fldChar w:fldCharType="separate"/>
      </w:r>
      <w:r>
        <w:rPr>
          <w:rStyle w:val="21"/>
          <w:rFonts w:hint="default" w:ascii="Times New Roman" w:hAnsi="Times New Roman" w:cs="Times New Roman"/>
          <w:sz w:val="22"/>
          <w:szCs w:val="22"/>
        </w:rPr>
        <w:t>22f1000386@ds.study.iitm.ac.in</w:t>
      </w:r>
      <w:r>
        <w:rPr>
          <w:rStyle w:val="21"/>
          <w:rFonts w:hint="default" w:ascii="Times New Roman" w:hAnsi="Times New Roman" w:cs="Times New Roman"/>
          <w:sz w:val="22"/>
          <w:szCs w:val="22"/>
        </w:rPr>
        <w:fldChar w:fldCharType="end"/>
      </w:r>
    </w:p>
    <w:bookmarkEnd w:id="6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Euphorigen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46D7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6.jpeg"/><Relationship Id="rId3" Type="http://schemas.openxmlformats.org/officeDocument/2006/relationships/footnotes" Target="footnotes.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83</Words>
  <Characters>475</Characters>
  <Lines>12</Lines>
  <Paragraphs>8</Paragraphs>
  <TotalTime>9</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2025-12-14T08:10:00Z</dcterms:created>
  <dc:creator>Shib Kumar</dc:creator>
  <cp:lastModifiedBy>Shib Kumar</cp:lastModifiedBy>
  <dcterms:modified xsi:type="dcterms:W3CDTF">2025-12-14T08:13:22Z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AA18233B93F948D4B8211A57EB2D6671_12</vt:lpwstr>
  </property>
</Properties>
</file>