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C4622D"/>
          <w:sz w:val="20"/>
        </w:rPr>
        <w:t>ACCENTURE INNOVATION CHALLENGE 2026 — ROUND 2</w:t>
      </w:r>
    </w:p>
    <w:p>
      <w:pPr>
        <w:spacing w:before="40" w:after="120"/>
      </w:pPr>
      <w:r>
        <w:rPr>
          <w:rFonts w:ascii="Calibri" w:hAnsi="Calibri"/>
          <w:b/>
          <w:color w:val="14202B"/>
          <w:sz w:val="60"/>
        </w:rPr>
        <w:t>Digital Twin .ai</w:t>
      </w:r>
    </w:p>
    <w:p>
      <w:pPr>
        <w:spacing w:after="200"/>
      </w:pPr>
      <w:r>
        <w:rPr>
          <w:rFonts w:ascii="Calibri" w:hAnsi="Calibri"/>
          <w:i/>
          <w:color w:val="6B7684"/>
          <w:sz w:val="24"/>
        </w:rPr>
        <w:t>A live, camera-and-sensor-fused model of a mixed-instrumentation assembly line that predicts bottlenecks and defect exposure before either happens — and stays useful at the stations no sensor has ever touched.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4703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Team</w:t>
            </w:r>
          </w:p>
        </w:tc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CUBIX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Members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Kiran Jadhav · Varnit · Sneha Dutta</w:t>
            </w:r>
          </w:p>
        </w:tc>
      </w:tr>
      <w:tr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Institution</w:t>
            </w:r>
          </w:p>
        </w:tc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IIT Madras — Data Science &amp; Applications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Document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Detailed Business Proposal v1.0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C4622D"/>
          <w:sz w:val="20"/>
        </w:rPr>
        <w:t>1 PROBLEM FRAMING</w:t>
      </w:r>
    </w:p>
    <w:p>
      <w:pPr>
        <w:spacing w:before="0" w:after="200"/>
      </w:pPr>
      <w:r>
        <w:rPr>
          <w:rFonts w:ascii="Calibri" w:hAnsi="Calibri"/>
          <w:b/>
          <w:color w:val="14202B"/>
          <w:sz w:val="36"/>
        </w:rPr>
        <w:t>The gap Round 1 named — and what Round 2 adds</w:t>
      </w:r>
    </w:p>
    <w:p>
      <w:pPr>
        <w:spacing w:after="160"/>
      </w:pPr>
      <w:r>
        <w:rPr>
          <w:rFonts w:ascii="Calibri" w:hAnsi="Calibri"/>
          <w:i w:val="0"/>
          <w:color w:val="3A4552"/>
          <w:sz w:val="21"/>
        </w:rPr>
        <w:t>In Round 1 we argued that a single slow or degrading station on an assembly line rarely announces itself — it shows up as an upstream queue, a starved downstream station, or a defect that isn't caught until dozens of vehicles later. Round 2's brief sharpens that problem with a fact every real plant already knows: the line is never uniformly instrumented. A 30–50 station mixed-model line is a patchwork built up over a decade or more — some stations wired into the MES with PLC-level telemetry, others running on a laminated checklist and an operator's judgment.</w:t>
      </w:r>
    </w:p>
    <w:p>
      <w:pPr>
        <w:spacing w:after="160"/>
      </w:pPr>
      <w:r>
        <w:rPr>
          <w:rFonts w:ascii="Calibri" w:hAnsi="Calibri"/>
          <w:i w:val="0"/>
          <w:color w:val="3A4552"/>
          <w:sz w:val="21"/>
        </w:rPr>
        <w:t>That patchwork changes what a "digital twin" has to be. It cannot assume a fully sensored ideal factory, because that factory doesn't exist. It has to be honest about which parts of its own picture are measured and which are inferred — and it has to keep working, safely, around live production it is not allowed to touch except in a handful of scheduled maintenance windows a year.</w:t>
      </w:r>
    </w:p>
    <w:p>
      <w:pPr>
        <w:spacing w:before="240" w:after="80"/>
      </w:pPr>
      <w:r>
        <w:rPr>
          <w:rFonts w:ascii="Calibri" w:hAnsi="Calibri"/>
          <w:b/>
          <w:color w:val="14202B"/>
          <w:sz w:val="23"/>
        </w:rPr>
        <w:t>Compounding factors from the Round 2 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Real-world complexity</w:t>
            </w:r>
          </w:p>
        </w:tc>
        <w:tc>
          <w:tcPr>
            <w:tcW w:type="dxa" w:w="4703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Why it defeats a naive twin</w:t>
            </w:r>
          </w:p>
        </w:tc>
      </w:tr>
      <w:tr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Uneven sensor coverage</w:t>
            </w:r>
          </w:p>
        </w:tc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A model trained to expect PLC-quality data everywhere breaks silently at the manual-checklist stations — exactly where problems are least visible today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Multi-causal, intermittent root causes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Equipment wear, operator variation, upstream part quality and environment rarely act alone; a single-signal anomaly flag can't separate them</w:t>
            </w:r>
          </w:p>
        </w:tc>
      </w:tr>
      <w:tr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No live retrofit access</w:t>
            </w:r>
          </w:p>
        </w:tc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New sensors can only go in during scheduled maintenance windows — the twin must earn its value with the instrumentation already on the floor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Delayed defect surfacing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A defect from Station 8 may only be caught at Station 41 — by which point the true exposure window has to be reconstructed after the fact</w:t>
            </w:r>
          </w:p>
        </w:tc>
      </w:tr>
      <w:tr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Stakeholder-specific views</w:t>
            </w:r>
          </w:p>
        </w:tc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A floor supervisor, a plant manager and a leadership sponsor are reading the same twin for three different decisions on three different clocks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Multi-site generalisation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Layout, equipment vintage and sensor maturity all vary site to site — a model tuned to one line's quirks won't transfer</w:t>
            </w:r>
          </w:p>
        </w:tc>
      </w:tr>
      <w:tr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Trust decays with false alarms</w:t>
            </w:r>
          </w:p>
        </w:tc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A prediction that doesn't materialise costs more than a missed one, because floor staff stop watching the ones that follow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i w:val="0"/>
          <w:color w:val="14202B"/>
          <w:sz w:val="20"/>
        </w:rPr>
        <w:t>The problem isn't just "predict bottlenecks and defects." It's predict them credibly, at a station you may not be able to fully see, without ever having touched the line to get there.</w:t>
      </w: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C4622D"/>
          <w:sz w:val="20"/>
        </w:rPr>
        <w:t>2 SOLUTION DESIGN</w:t>
      </w:r>
    </w:p>
    <w:p>
      <w:pPr>
        <w:spacing w:before="0" w:after="200"/>
      </w:pPr>
      <w:r>
        <w:rPr>
          <w:rFonts w:ascii="Calibri" w:hAnsi="Calibri"/>
          <w:b/>
          <w:color w:val="14202B"/>
          <w:sz w:val="36"/>
        </w:rPr>
        <w:t>SEE → MODEL → PREDICT → ACT, rebuilt for uneven instrumentation</w:t>
      </w:r>
    </w:p>
    <w:p>
      <w:pPr>
        <w:spacing w:before="240" w:after="80"/>
      </w:pPr>
      <w:r>
        <w:rPr>
          <w:rFonts w:ascii="Calibri" w:hAnsi="Calibri"/>
          <w:b/>
          <w:color w:val="14202B"/>
          <w:sz w:val="23"/>
        </w:rPr>
        <w:t>2.1 Modelling approach — what's explicit vs. inferred</w:t>
      </w:r>
    </w:p>
    <w:p>
      <w:pPr>
        <w:spacing w:after="160"/>
      </w:pPr>
      <w:r>
        <w:rPr>
          <w:rFonts w:ascii="Calibri" w:hAnsi="Calibri"/>
          <w:i w:val="0"/>
          <w:color w:val="3A4552"/>
          <w:sz w:val="21"/>
        </w:rPr>
        <w:t>We model every station along the same four attributes regardless of instrumentation level — cycle time, throughput, defect signature, and confidence — but the source of each attribute differs by station tier: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Station tier</w:t>
            </w:r>
          </w:p>
        </w:tc>
        <w:tc>
          <w:tcPr>
            <w:tcW w:type="dxa" w:w="3135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What's measured directly</w:t>
            </w:r>
          </w:p>
        </w:tc>
        <w:tc>
          <w:tcPr>
            <w:tcW w:type="dxa" w:w="3135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What's inferred</w:t>
            </w:r>
          </w:p>
        </w:tc>
      </w:tr>
      <w:tr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Tier A — Instrumented (PLC/MES telemetry: torque, vibration, temperature)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Cycle time, process parameters, fault codes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Nothing — signals are used as-is with calibrated confidence near 1.0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Tier B — Vision-augmented (a camera reused from Round 1's core mechanism)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Cycle time, motion/hesitation, rework loops via optical flow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Torque/temperature proxies, correlated against any nearby Tier A stations of the same type</w:t>
            </w:r>
          </w:p>
        </w:tc>
      </w:tr>
      <w:tr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Tier C — Manual-checklist only (no sensor, no camera line-of-sight)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Pass/fail and operator notes at checklist cadence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Cycle time and health, inferred from upstream/downstream buffer behaviour and historical variance for that station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i w:val="0"/>
          <w:color w:val="3A4552"/>
          <w:sz w:val="21"/>
        </w:rPr>
        <w:t>Every inferred value carries an explicit confidence score. A Tier C station's prediction is never displayed with the same visual certainty as a Tier A one — this is a hard UI rule, not a styling choice, because it's the single biggest lever against false-alarm-driven trust erosion.</w:t>
      </w:r>
    </w:p>
    <w:p>
      <w:pPr>
        <w:spacing w:before="240" w:after="80"/>
      </w:pPr>
      <w:r>
        <w:rPr>
          <w:rFonts w:ascii="Calibri" w:hAnsi="Calibri"/>
          <w:b/>
          <w:color w:val="14202B"/>
          <w:sz w:val="23"/>
        </w:rPr>
        <w:t>2.2 Predictive techniques — matched to what data actually supports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Statistical process control (SPC) at Tier A/B stations with enough history — cheap, interpretable, and a good first filter before anything model-based runs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Unsupervised anomaly detection (Isolation Forest, carried over from the Round 1 prototype) for stations with no labelled fault data — learns each station's own "normal" rather than assuming one factory-wide baseline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Physics-informed constraints on the line-graph simulation (conservation of flow through buffers, monotonic cycle-time bounds) so the propagation model can't output a physically impossible forecast even when a station's inputs are noisy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Validation before trust : every model is back-tested on held-out historical windows before it's allowed to surface a live recommendation, and every live prediction is logged against its eventual outcome — this outcome log is what Section 4's accuracy claims are built on, and what keeps the model honest over time</w:t>
      </w:r>
    </w:p>
    <w:p>
      <w:pPr>
        <w:spacing w:before="240" w:after="80"/>
      </w:pPr>
      <w:r>
        <w:rPr>
          <w:rFonts w:ascii="Calibri" w:hAnsi="Calibri"/>
          <w:b/>
          <w:color w:val="14202B"/>
          <w:sz w:val="23"/>
        </w:rPr>
        <w:t>2.3 Handling data gaps at Tier C stations</w:t>
      </w:r>
    </w:p>
    <w:p>
      <w:pPr>
        <w:spacing w:after="160"/>
      </w:pPr>
      <w:r>
        <w:rPr>
          <w:rFonts w:ascii="Calibri" w:hAnsi="Calibri"/>
          <w:i w:val="0"/>
          <w:color w:val="3A4552"/>
          <w:sz w:val="21"/>
        </w:rPr>
        <w:t>Three layers, in order of cost: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Free — inference from neighbours. A Tier C station's buffer behaviour (how fast cars queue before it, how fast they clear after) already carries a signal about its own cycle time, without touching the station itself.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Low-cost — a camera, not a sensor. Where there's a usable sightline, the same optical-flow pipeline from Round 1 upgrades a Tier C station to Tier B without any PLC integration or production downtime — install happens on a live line, no maintenance window required.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Scheduled — targeted retrofit. For stations where neither of the above is viable, we produce a ranked "instrumentation shortlist" — the stations whose uncertainty most limits the twin's overall accuracy — so a plant's limited maintenance-window budget for physical retrofits is spent where it moves the needle most, not spread evenly.</w:t>
      </w:r>
    </w:p>
    <w:p>
      <w:pPr>
        <w:spacing w:before="240" w:after="80"/>
      </w:pPr>
      <w:r>
        <w:rPr>
          <w:rFonts w:ascii="Calibri" w:hAnsi="Calibri"/>
          <w:b/>
          <w:color w:val="14202B"/>
          <w:sz w:val="23"/>
        </w:rPr>
        <w:t>2.4 Integration approach — around the line, not into it</w:t>
      </w:r>
    </w:p>
    <w:p>
      <w:pPr>
        <w:spacing w:after="160"/>
      </w:pPr>
      <w:r>
        <w:rPr>
          <w:rFonts w:ascii="Calibri" w:hAnsi="Calibri"/>
          <w:i w:val="0"/>
          <w:color w:val="3A4552"/>
          <w:sz w:val="21"/>
        </w:rPr>
        <w:t>The twin is strictly read-only with respect to production systems. It subscribes to existing MES/SCADA event streams and OT data feeds already flowing for other purposes (quality systems, historian databases), and adds cameras as an independent, non-networked sensing layer with no connection back into PLC logic. No control-system change, no PLC reprogramming, and no requirement for a maintenance window to deploy the core twin — maintenance windows are reserved solely for the optional physical retrofit step in 2.3.</w:t>
      </w:r>
    </w:p>
    <w:p>
      <w:pPr>
        <w:spacing w:before="240" w:after="80"/>
      </w:pPr>
      <w:r>
        <w:rPr>
          <w:rFonts w:ascii="Calibri" w:hAnsi="Calibri"/>
          <w:b/>
          <w:color w:val="14202B"/>
          <w:sz w:val="23"/>
        </w:rPr>
        <w:t>2.5 From detection to action</w:t>
      </w:r>
    </w:p>
    <w:p>
      <w:pPr>
        <w:spacing w:after="160"/>
      </w:pPr>
      <w:r>
        <w:rPr>
          <w:rFonts w:ascii="Calibri" w:hAnsi="Calibri"/>
          <w:i w:val="0"/>
          <w:color w:val="3A4552"/>
          <w:sz w:val="21"/>
        </w:rPr>
        <w:t>Every flagged deviation resolves to one explainable statement, not a bare score: "Station 14 is degrading → Station 17 may be affected in 4 minutes → 9 vehicles are potentially exposed." A ranked recommendation follows — inspect, reassign, hold buffer — and a human always approves it. The twin never adjusts line speed, halts a station, or clears a vehicle on its own.</w:t>
      </w: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C4622D"/>
          <w:sz w:val="20"/>
        </w:rPr>
        <w:t>3 TARGET USERS</w:t>
      </w:r>
    </w:p>
    <w:p>
      <w:pPr>
        <w:spacing w:before="0" w:after="200"/>
      </w:pPr>
      <w:r>
        <w:rPr>
          <w:rFonts w:ascii="Calibri" w:hAnsi="Calibri"/>
          <w:b/>
          <w:color w:val="14202B"/>
          <w:sz w:val="36"/>
        </w:rPr>
        <w:t>Three views, one underlying model</w:t>
      </w:r>
    </w:p>
    <w:p>
      <w:pPr>
        <w:spacing w:after="160"/>
      </w:pPr>
      <w:r>
        <w:rPr>
          <w:rFonts w:ascii="Calibri" w:hAnsi="Calibri"/>
          <w:i w:val="0"/>
          <w:color w:val="3A4552"/>
          <w:sz w:val="21"/>
        </w:rPr>
        <w:t>The same twin serves three audiences with fundamentally different decision cadences — so the product is one shared data model surfaced through three distinct views, not three separate tools.</w:t>
      </w:r>
    </w:p>
    <w:p>
      <w:pPr>
        <w:spacing w:before="160" w:after="40"/>
      </w:pPr>
      <w:r>
        <w:rPr>
          <w:rFonts w:ascii="Calibri" w:hAnsi="Calibri"/>
          <w:b/>
          <w:color w:val="C4622D"/>
          <w:sz w:val="21"/>
        </w:rPr>
        <w:t>Floor Supervisor  ·  Real time · seconds to minutes</w:t>
      </w:r>
    </w:p>
    <w:p>
      <w:pPr>
        <w:spacing w:after="160"/>
      </w:pPr>
      <w:r>
        <w:rPr>
          <w:rFonts w:ascii="Calibri" w:hAnsi="Calibri"/>
          <w:i w:val="0"/>
          <w:color w:val="3A4552"/>
          <w:sz w:val="20"/>
        </w:rPr>
        <w:t>Needs the live line map, right now: which station is straining, what's predicted downstream, one ranked action to approve. Success is measured in minutes saved before a bottleneck becomes a missed shift target.</w:t>
      </w:r>
    </w:p>
    <w:p>
      <w:pPr>
        <w:spacing w:before="160" w:after="40"/>
      </w:pPr>
      <w:r>
        <w:rPr>
          <w:rFonts w:ascii="Calibri" w:hAnsi="Calibri"/>
          <w:b/>
          <w:color w:val="C4622D"/>
          <w:sz w:val="21"/>
        </w:rPr>
        <w:t>Plant Manager  ·  Planning · daily / weekly</w:t>
      </w:r>
    </w:p>
    <w:p>
      <w:pPr>
        <w:spacing w:after="160"/>
      </w:pPr>
      <w:r>
        <w:rPr>
          <w:rFonts w:ascii="Calibri" w:hAnsi="Calibri"/>
          <w:i w:val="0"/>
          <w:color w:val="3A4552"/>
          <w:sz w:val="20"/>
        </w:rPr>
        <w:t>Needs trend views across the week: which stations recur as risk sources, how prediction accuracy is tracking, where labour or maintenance should be pre-positioned for the coming shifts. Success is fewer surprises at the weekly review.</w:t>
      </w:r>
    </w:p>
    <w:p>
      <w:pPr>
        <w:spacing w:before="160" w:after="40"/>
      </w:pPr>
      <w:r>
        <w:rPr>
          <w:rFonts w:ascii="Calibri" w:hAnsi="Calibri"/>
          <w:b/>
          <w:color w:val="C4622D"/>
          <w:sz w:val="21"/>
        </w:rPr>
        <w:t>Leadership Sponsor  ·  Investment · quarterly</w:t>
      </w:r>
    </w:p>
    <w:p>
      <w:pPr>
        <w:spacing w:after="160"/>
      </w:pPr>
      <w:r>
        <w:rPr>
          <w:rFonts w:ascii="Calibri" w:hAnsi="Calibri"/>
          <w:i w:val="0"/>
          <w:color w:val="3A4552"/>
          <w:sz w:val="20"/>
        </w:rPr>
        <w:t>Needs the business case: downtime hours avoided, defect batches caught early, cost of the instrumentation shortlist versus cost of the status quo, and a rollout path to the next line or site. Success is a fundable, de-risked expansion decision.</w:t>
      </w: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C4622D"/>
          <w:sz w:val="20"/>
        </w:rPr>
        <w:t>4 BUSINESS CASE &amp; IMPACT</w:t>
      </w:r>
    </w:p>
    <w:p>
      <w:pPr>
        <w:spacing w:before="0" w:after="200"/>
      </w:pPr>
      <w:r>
        <w:rPr>
          <w:rFonts w:ascii="Calibri" w:hAnsi="Calibri"/>
          <w:b/>
          <w:color w:val="14202B"/>
          <w:sz w:val="36"/>
        </w:rPr>
        <w:t>Where the value actually comes from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4703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20–40</w:t>
            </w:r>
          </w:p>
        </w:tc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vehicles typically built between a defect-causing event and its discovery at final test — the exposure window this twin shrinks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2–3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cycle times of early warning the propagation model targets, before a bottleneck trips the shift's line rate</w:t>
            </w:r>
          </w:p>
        </w:tc>
      </w:tr>
      <w:tr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60–70%</w:t>
            </w:r>
          </w:p>
        </w:tc>
        <w:tc>
          <w:tcPr>
            <w:tcW w:type="dxa" w:w="4703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of a typical mixed-model line's stations that carry little or no direct telemetry today — the segment this twin is built to cover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4202B"/>
          <w:sz w:val="23"/>
        </w:rPr>
        <w:t>Where savings accrue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Reduced defect-exposure batches — catching a deviation within a handful of vehicles instead of dozens directly cuts rework and warranty cost per incident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Reduced unplanned downtime — earlier bottleneck warning converts emergency line stops into planned, lower-cost interventions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Better-targeted capital spend — the ranked instrumentation shortlist (2.3) means retrofit budget goes to the highest-uncertainty stations first, not spread thin</w:t>
      </w:r>
    </w:p>
    <w:p>
      <w:pPr>
        <w:pStyle w:val="ListBullet"/>
        <w:spacing w:after="60"/>
      </w:pPr>
      <w:r>
        <w:rPr>
          <w:rFonts w:ascii="Calibri" w:hAnsi="Calibri"/>
          <w:color w:val="3A4552"/>
          <w:sz w:val="21"/>
        </w:rPr>
        <w:t>No integration capex or downtime — read-only deployment means value starts accruing before any maintenance window is spent</w:t>
      </w:r>
    </w:p>
    <w:p>
      <w:pPr>
        <w:spacing w:before="240" w:after="80"/>
      </w:pPr>
      <w:r>
        <w:rPr>
          <w:rFonts w:ascii="Calibri" w:hAnsi="Calibri"/>
          <w:b/>
          <w:color w:val="14202B"/>
          <w:sz w:val="23"/>
        </w:rPr>
        <w:t>Path to proof</w:t>
      </w:r>
    </w:p>
    <w:p>
      <w:pPr>
        <w:spacing w:after="160"/>
      </w:pPr>
      <w:r>
        <w:rPr>
          <w:rFonts w:ascii="Calibri" w:hAnsi="Calibri"/>
          <w:i w:val="0"/>
          <w:color w:val="3A4552"/>
          <w:sz w:val="21"/>
        </w:rPr>
        <w:t>Because every prediction is logged against its eventual outcome (2.2), the business case is not a one-time estimate — it compounds into an audited accuracy and savings record that leadership can point to when approving expansion to the next line.</w:t>
      </w: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C4622D"/>
          <w:sz w:val="20"/>
        </w:rPr>
        <w:t>5 PHASED ROADMAP</w:t>
      </w:r>
    </w:p>
    <w:p>
      <w:pPr>
        <w:spacing w:before="0" w:after="200"/>
      </w:pPr>
      <w:r>
        <w:rPr>
          <w:rFonts w:ascii="Calibri" w:hAnsi="Calibri"/>
          <w:b/>
          <w:color w:val="14202B"/>
          <w:sz w:val="36"/>
        </w:rPr>
        <w:t>One line first, proven before it spreads</w:t>
      </w:r>
    </w:p>
    <w:p>
      <w:pPr>
        <w:spacing w:before="120" w:after="40"/>
      </w:pPr>
      <w:r>
        <w:rPr>
          <w:rFonts w:ascii="Calibri" w:hAnsi="Calibri"/>
          <w:b/>
          <w:color w:val="3C6E71"/>
          <w:sz w:val="21"/>
        </w:rPr>
        <w:t>Phase 1 · Weeks 1–8 — Prove the mechanism</w:t>
      </w:r>
    </w:p>
    <w:p>
      <w:pPr>
        <w:spacing w:after="160"/>
      </w:pPr>
      <w:r>
        <w:rPr>
          <w:rFonts w:ascii="Calibri" w:hAnsi="Calibri"/>
          <w:i w:val="0"/>
          <w:color w:val="3A4552"/>
          <w:sz w:val="20"/>
        </w:rPr>
        <w:t>Working prototype on simulated 30–50 station line with synthetic Tier A/B/C coverage. Validate the SEE→PREDICT pipeline and confidence-banded output against known injected-fault scenarios.</w:t>
      </w:r>
    </w:p>
    <w:p>
      <w:pPr>
        <w:spacing w:before="120" w:after="40"/>
      </w:pPr>
      <w:r>
        <w:rPr>
          <w:rFonts w:ascii="Calibri" w:hAnsi="Calibri"/>
          <w:b/>
          <w:color w:val="3C6E71"/>
          <w:sz w:val="21"/>
        </w:rPr>
        <w:t>Phase 2 · Weeks 9–20 — Pilot on one real line</w:t>
      </w:r>
    </w:p>
    <w:p>
      <w:pPr>
        <w:spacing w:after="160"/>
      </w:pPr>
      <w:r>
        <w:rPr>
          <w:rFonts w:ascii="Calibri" w:hAnsi="Calibri"/>
          <w:i w:val="0"/>
          <w:color w:val="3A4552"/>
          <w:sz w:val="20"/>
        </w:rPr>
        <w:t>Read-only integration with one plant's live MES/OT feeds plus targeted camera install at select Tier C stations. Outcome-logging begins; floor supervisor view goes live.</w:t>
      </w:r>
    </w:p>
    <w:p>
      <w:pPr>
        <w:spacing w:before="120" w:after="40"/>
      </w:pPr>
      <w:r>
        <w:rPr>
          <w:rFonts w:ascii="Calibri" w:hAnsi="Calibri"/>
          <w:b/>
          <w:color w:val="3C6E71"/>
          <w:sz w:val="21"/>
        </w:rPr>
        <w:t>Phase 3 · Months 6–12 — Prove the business case</w:t>
      </w:r>
    </w:p>
    <w:p>
      <w:pPr>
        <w:spacing w:after="160"/>
      </w:pPr>
      <w:r>
        <w:rPr>
          <w:rFonts w:ascii="Calibri" w:hAnsi="Calibri"/>
          <w:i w:val="0"/>
          <w:color w:val="3A4552"/>
          <w:sz w:val="20"/>
        </w:rPr>
        <w:t>Accumulate enough outcome-logged predictions to report audited accuracy and savings. Plant manager and leadership views mature; first physical retrofit shortlist executed at a scheduled maintenance window.</w:t>
      </w:r>
    </w:p>
    <w:p>
      <w:pPr>
        <w:spacing w:before="120" w:after="40"/>
      </w:pPr>
      <w:r>
        <w:rPr>
          <w:rFonts w:ascii="Calibri" w:hAnsi="Calibri"/>
          <w:b/>
          <w:color w:val="3C6E71"/>
          <w:sz w:val="21"/>
        </w:rPr>
        <w:t>Phase 4 · Year 2 — Generalise across sites</w:t>
      </w:r>
    </w:p>
    <w:p>
      <w:pPr>
        <w:spacing w:after="160"/>
      </w:pPr>
      <w:r>
        <w:rPr>
          <w:rFonts w:ascii="Calibri" w:hAnsi="Calibri"/>
          <w:i w:val="0"/>
          <w:color w:val="3A4552"/>
          <w:sz w:val="20"/>
        </w:rPr>
        <w:t>Re-platform the station-tier model for a second line/site with different layout and sensor maturity, using Phase 3's audited case to justify the expansion without re-litigating the core mechanism.</w:t>
      </w: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C4622D"/>
          <w:sz w:val="20"/>
        </w:rPr>
        <w:t>6 RISKS &amp; MITIGATIONS</w:t>
      </w:r>
    </w:p>
    <w:p>
      <w:pPr>
        <w:spacing w:before="0" w:after="200"/>
      </w:pPr>
      <w:r>
        <w:rPr>
          <w:rFonts w:ascii="Calibri" w:hAnsi="Calibri"/>
          <w:b/>
          <w:color w:val="14202B"/>
          <w:sz w:val="36"/>
        </w:rPr>
        <w:t>Named directly, mitigated by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35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35"/>
            <w:shd w:val="clear" w:color="auto" w:fill="C4622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False alarms erode floor-level trust faster than they build it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Critical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Confidence-banded predictions (2.1); back-testing before any model goes live (2.2); outcome log surfaced back to the floor supervisor so accuracy is visible, not asserted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Multi-causal root causes get mis-attributed to the wrong factor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Recommendations name a ranked hypothesis with contributing signals, not a single asserted cause — framed for human judgement, not automated diagnosis</w:t>
            </w:r>
          </w:p>
        </w:tc>
      </w:tr>
      <w:tr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Model tuned to one line's data doesn't transfer to another site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Station-tier modelling (2.1) is layout-agnostic by construction; Phase 4 is scoped explicitly to test and correct this before wider rollout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Camera or sensor data quality degrades (lighting, occlusion, wear) without anyone noticing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Continuous signal-quality monitoring per station; a station whose input quality drops is flagged as low-confidence automatically, never silently trusted</w:t>
            </w:r>
          </w:p>
        </w:tc>
      </w:tr>
      <w:tr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/>
                <w:color w:val="14202B"/>
                <w:sz w:val="18"/>
              </w:rPr>
              <w:t>Scope creep toward a full physics-accurate twin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F3F5F6"/>
          </w:tcPr>
          <w:p>
            <w:r>
              <w:rPr>
                <w:rFonts w:ascii="Calibri" w:hAnsi="Calibri"/>
                <w:b w:val="0"/>
                <w:color w:val="3A4552"/>
                <w:sz w:val="18"/>
              </w:rPr>
              <w:t>Section 2.1's explicit modelled-vs-inferred boundary is a standing constraint revisited at every phase gate, matching the Round 1 discipline of modelling behaviour, not physical detail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C4622D"/>
          <w:sz w:val="20"/>
        </w:rPr>
        <w:t>7 WORKING ASSUMPTIONS</w:t>
      </w:r>
    </w:p>
    <w:p>
      <w:pPr>
        <w:spacing w:before="0" w:after="200"/>
      </w:pPr>
      <w:r>
        <w:rPr>
          <w:rFonts w:ascii="Calibri" w:hAnsi="Calibri"/>
          <w:b/>
          <w:color w:val="14202B"/>
          <w:sz w:val="36"/>
        </w:rPr>
        <w:t>Stated explicitly, adapted freely</w:t>
      </w:r>
    </w:p>
    <w:p>
      <w:pPr>
        <w:spacing w:before="160" w:after="40"/>
      </w:pPr>
      <w:r>
        <w:rPr>
          <w:rFonts w:ascii="Calibri" w:hAnsi="Calibri"/>
          <w:b/>
          <w:color w:val="6B7684"/>
          <w:sz w:val="18"/>
        </w:rPr>
        <w:t>LINE CONFIGURATION</w:t>
      </w:r>
    </w:p>
    <w:p>
      <w:pPr>
        <w:spacing w:after="160"/>
      </w:pPr>
      <w:r>
        <w:rPr>
          <w:rFonts w:ascii="Calibri" w:hAnsi="Calibri"/>
          <w:i w:val="0"/>
          <w:color w:val="14202B"/>
          <w:sz w:val="20"/>
        </w:rPr>
        <w:t>A mixed-model assembly line of 30–50 stations spanning body construction, paint and final assembly — consistent with the brief's reference parameters, and representative of the segment where this twin's value is highest.</w:t>
      </w:r>
    </w:p>
    <w:p>
      <w:pPr>
        <w:spacing w:before="160" w:after="40"/>
      </w:pPr>
      <w:r>
        <w:rPr>
          <w:rFonts w:ascii="Calibri" w:hAnsi="Calibri"/>
          <w:b/>
          <w:color w:val="6B7684"/>
          <w:sz w:val="18"/>
        </w:rPr>
        <w:t>SENSOR COVERAGE</w:t>
      </w:r>
    </w:p>
    <w:p>
      <w:pPr>
        <w:spacing w:after="160"/>
      </w:pPr>
      <w:r>
        <w:rPr>
          <w:rFonts w:ascii="Calibri" w:hAnsi="Calibri"/>
          <w:i w:val="0"/>
          <w:color w:val="14202B"/>
          <w:sz w:val="20"/>
        </w:rPr>
        <w:t>A majority of stations are well-instrumented (Tier A); a meaningful minority are manual-checklist only (Tier C) at the outset. Camera-augmentable (Tier B) coverage is treated as the primary lever for narrowing that gap without a maintenance window.</w:t>
      </w:r>
    </w:p>
    <w:p>
      <w:pPr>
        <w:spacing w:before="160" w:after="40"/>
      </w:pPr>
      <w:r>
        <w:rPr>
          <w:rFonts w:ascii="Calibri" w:hAnsi="Calibri"/>
          <w:b/>
          <w:color w:val="6B7684"/>
          <w:sz w:val="18"/>
        </w:rPr>
        <w:t>MAINTENANCE ACCESS</w:t>
      </w:r>
    </w:p>
    <w:p>
      <w:pPr>
        <w:spacing w:after="160"/>
      </w:pPr>
      <w:r>
        <w:rPr>
          <w:rFonts w:ascii="Calibri" w:hAnsi="Calibri"/>
          <w:i w:val="0"/>
          <w:color w:val="14202B"/>
          <w:sz w:val="20"/>
        </w:rPr>
        <w:t>Physical instrumentation changes are only possible during a small number of scheduled maintenance windows per year — the entire integration approach (2.4) is designed to deliver value without depending on this constraint.</w:t>
      </w:r>
    </w:p>
    <w:p>
      <w:pPr>
        <w:spacing w:before="160" w:after="40"/>
      </w:pPr>
      <w:r>
        <w:rPr>
          <w:rFonts w:ascii="Calibri" w:hAnsi="Calibri"/>
          <w:b/>
          <w:color w:val="6B7684"/>
          <w:sz w:val="18"/>
        </w:rPr>
        <w:t>GENERALISATION INTENT</w:t>
      </w:r>
    </w:p>
    <w:p>
      <w:pPr>
        <w:spacing w:after="160"/>
      </w:pPr>
      <w:r>
        <w:rPr>
          <w:rFonts w:ascii="Calibri" w:hAnsi="Calibri"/>
          <w:i w:val="0"/>
          <w:color w:val="14202B"/>
          <w:sz w:val="20"/>
        </w:rPr>
        <w:t>These parameters are illustrative, not a fixed dataset. The station-tier model and confidence-banding approach are designed to hold across different layouts, equipment vintages and sensor maturities — this is treated as a design requirement, not an assumption to be revisited later.</w:t>
      </w:r>
    </w:p>
    <w:p>
      <w:pPr>
        <w:spacing w:after="160"/>
      </w:pPr>
      <w:r>
        <w:rPr>
          <w:rFonts w:ascii="Calibri" w:hAnsi="Calibri"/>
          <w:i/>
          <w:color w:val="6B7684"/>
          <w:sz w:val="17"/>
        </w:rPr>
        <w:t>DigitalTwin.ai — Round 2 Business Proposal v1.0 — Team CUBIX, Accenture Innovation Challenge 2026.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45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