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1f2e"/>
          <w:sz w:val="56"/>
          <w:szCs w:val="56"/>
        </w:rPr>
        <w:t xml:space="preserve">CS Pulse</w:t>
      </w:r>
    </w:p>
    <w:p>
      <w:pPr>
        <w:spacing w:after="200"/>
        <w:jc w:val="center"/>
      </w:pPr>
      <w:r>
        <w:rPr>
          <w:rFonts w:ascii="Arial" w:cs="Arial" w:eastAsia="Arial" w:hAnsi="Arial"/>
          <w:color w:val="6B7280"/>
          <w:sz w:val="28"/>
          <w:szCs w:val="28"/>
        </w:rPr>
        <w:t xml:space="preserve">Revenue Intelligence Platform</w:t>
      </w:r>
    </w:p>
    <w:p>
      <w:pPr>
        <w:pBdr>
          <w:top w:val="single" w:color="2563eb" w:sz="2" w:space="12"/>
        </w:pBdr>
        <w:spacing w:after="200" w:before="400"/>
        <w:jc w:val="center"/>
      </w:pPr>
      <w:r>
        <w:rPr>
          <w:rFonts w:ascii="Arial" w:cs="Arial" w:eastAsia="Arial" w:hAnsi="Arial"/>
          <w:b/>
          <w:bCs/>
          <w:color w:val="2563eb"/>
          <w:sz w:val="40"/>
          <w:szCs w:val="40"/>
        </w:rPr>
        <w:t xml:space="preserve">User Guide</w:t>
      </w:r>
    </w:p>
    <w:p>
      <w:pPr>
        <w:jc w:val="center"/>
      </w:pPr>
      <w:r>
        <w:rPr>
          <w:rFonts w:ascii="Arial" w:cs="Arial" w:eastAsia="Arial" w:hAnsi="Arial"/>
          <w:color w:val="374151"/>
          <w:sz w:val="24"/>
          <w:szCs w:val="24"/>
        </w:rPr>
        <w:t xml:space="preserve">Sandalwood Capital — Customer ID: 419</w:t>
      </w:r>
    </w:p>
    <w:p>
      <w:pPr>
        <w:spacing w:before="600"/>
        <w:jc w:val="center"/>
      </w:pPr>
      <w:r>
        <w:rPr>
          <w:rFonts w:ascii="Arial" w:cs="Arial" w:eastAsia="Arial" w:hAnsi="Arial"/>
          <w:color w:val="6B7280"/>
          <w:sz w:val="22"/>
          <w:szCs w:val="22"/>
        </w:rPr>
        <w:t xml:space="preserve">18 Accounts  |  $68.7M Portfolio ARR  |  DC2_S Vertical</w:t>
      </w:r>
    </w:p>
    <w:p>
      <w:pPr>
        <w:spacing w:before="1200"/>
        <w:jc w:val="center"/>
      </w:pPr>
      <w:r>
        <w:rPr>
          <w:rFonts w:ascii="Arial" w:cs="Arial" w:eastAsia="Arial" w:hAnsi="Arial"/>
          <w:color w:val="9CA3AF"/>
          <w:sz w:val="20"/>
          <w:szCs w:val="20"/>
        </w:rPr>
        <w:t xml:space="preserve">March 2026</w:t>
      </w:r>
    </w:p>
    <w:p>
      <w:r>
        <w:br w:type="page"/>
      </w:r>
    </w:p>
    <w:p>
      <w:pPr>
        <w:pStyle w:val="Heading1"/>
      </w:pPr>
      <w:r>
        <w:t xml:space="preserve">1. Getting Started</w:t>
      </w:r>
    </w:p>
    <w:p>
      <w:pPr>
        <w:pStyle w:val="Heading2"/>
      </w:pPr>
      <w:r>
        <w:t xml:space="preserve">1.1 Accessing CS Pulse</w:t>
      </w:r>
    </w:p>
    <w:p>
      <w:pPr>
        <w:spacing w:after="120"/>
      </w:pPr>
      <w:r>
        <w:t xml:space="preserve">Open your browser and navigate to:</w:t>
      </w:r>
    </w:p>
    <w:p>
      <w:pPr>
        <w:spacing w:after="200"/>
      </w:pPr>
      <w:hyperlink w:history="1" r:id="rIdw0wnah_wfsrpfw42egbk2">
        <w:r>
          <w:rPr>
            <w:rStyle w:val="Hyperlink"/>
            <w:rFonts w:ascii="Arial" w:cs="Arial" w:eastAsia="Arial" w:hAnsi="Arial"/>
            <w:sz w:val="22"/>
            <w:szCs w:val="22"/>
          </w:rPr>
          <w:t xml:space="preserve">https://d2oqfugrb2ltg9.cloudfront.net</w:t>
        </w:r>
      </w:hyperlink>
    </w:p>
    <w:p>
      <w:pPr>
        <w:pStyle w:val="Heading2"/>
      </w:pPr>
      <w:r>
        <w:t xml:space="preserve">1.2 Logging In</w:t>
      </w:r>
    </w:p>
    <w:p>
      <w:pPr>
        <w:pStyle w:val="ListParagraph"/>
        <w:numPr>
          <w:ilvl w:val="0"/>
          <w:numId w:val="2"/>
        </w:numPr>
      </w:pPr>
      <w:r>
        <w:t xml:space="preserve">Enter your email address and password provided by your CS Pulse administrator.</w:t>
      </w:r>
    </w:p>
    <w:p>
      <w:pPr>
        <w:pStyle w:val="ListParagraph"/>
        <w:numPr>
          <w:ilvl w:val="0"/>
          <w:numId w:val="2"/>
        </w:numPr>
      </w:pPr>
      <w:r>
        <w:t xml:space="preserve">Click </w:t>
      </w:r>
      <w:r>
        <w:rPr>
          <w:b/>
          <w:bCs/>
        </w:rPr>
        <w:t xml:space="preserve">Sign In</w:t>
      </w:r>
      <w:r>
        <w:t xml:space="preserve">.</w:t>
      </w:r>
    </w:p>
    <w:p>
      <w:pPr>
        <w:pStyle w:val="ListParagraph"/>
        <w:numPr>
          <w:ilvl w:val="0"/>
          <w:numId w:val="2"/>
        </w:numPr>
      </w:pPr>
      <w:r>
        <w:t xml:space="preserve">You will land on the Portfolio Overview page showing your 18 accounts.</w:t>
      </w:r>
    </w:p>
    <w:p>
      <w:pPr>
        <w:spacing w:after="120"/>
      </w:pPr>
    </w:p>
    <w:p>
      <w:pPr>
        <w:pStyle w:val="Heading2"/>
      </w:pPr>
      <w:r>
        <w:t xml:space="preserve">1.3 Navigation Overview</w:t>
      </w:r>
    </w:p>
    <w:p>
      <w:pPr>
        <w:spacing w:after="120"/>
      </w:pPr>
      <w:r>
        <w:t xml:space="preserve">CS Pulse has multiple persona-based dashboards accessible from the left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32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2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Key Focus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 Overview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Chief Revenue Officer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at risk, expansion, story arcs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CFO View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Chief Financial Officer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ROI, investment efficiency, NRR/GRR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users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list, health scores, pillar heatmap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CSM / VP CS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 status, recommended 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AI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users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Q&amp;A powered by Claude</w:t>
            </w:r>
          </w:p>
        </w:tc>
      </w:tr>
    </w:tbl>
    <w:p>
      <w:r>
        <w:br w:type="page"/>
      </w:r>
    </w:p>
    <w:p>
      <w:pPr>
        <w:pStyle w:val="Heading1"/>
      </w:pPr>
      <w:r>
        <w:t xml:space="preserve">2. CRO Dashboard (Revenue Intelligence)</w:t>
      </w:r>
    </w:p>
    <w:p>
      <w:pPr>
        <w:spacing w:after="120"/>
      </w:pPr>
      <w:r>
        <w:t xml:space="preserve">Navigate to </w:t>
      </w:r>
      <w:r>
        <w:rPr>
          <w:b/>
          <w:bCs/>
        </w:rPr>
        <w:t xml:space="preserve">CRO Overview</w:t>
      </w:r>
      <w:r>
        <w:t xml:space="preserve"> from the left sidebar. This is your primary revenue intelligence view.</w:t>
      </w:r>
    </w:p>
    <w:p>
      <w:pPr>
        <w:pStyle w:val="Heading2"/>
      </w:pPr>
      <w:r>
        <w:t xml:space="preserve">2.1 Revenue Cards (Top Row)</w:t>
      </w:r>
    </w:p>
    <w:p>
      <w:pPr>
        <w:spacing w:after="80"/>
      </w:pPr>
      <w:r>
        <w:t xml:space="preserve">Three cards show revenue intelligence derived from the Context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18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at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~$23.5M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 connected to negative context graph outcomes (churn signals, renewal risk). Backed by causal evidence chains.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Protected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 where interventions (playbooks, CSM actions) have confirmed positive outcomes.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Expansion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 connected to expansion signals (upsell discussions, capacity growth).</w:t>
            </w:r>
          </w:p>
        </w:tc>
      </w:tr>
    </w:tbl>
    <w:p>
      <w:pPr>
        <w:pBdr>
          <w:left w:val="single" w:color="06b6d4" w:sz="12" w:space="8"/>
        </w:pBdr>
        <w:spacing w:after="120" w:before="120"/>
        <w:ind w:left="360" w:right="360"/>
      </w:pPr>
      <w:r>
        <w:rPr>
          <w:rFonts w:ascii="Arial" w:cs="Arial" w:eastAsia="Arial" w:hAnsi="Arial"/>
          <w:b/>
          <w:bCs/>
          <w:color w:val="06b6d4"/>
          <w:sz w:val="20"/>
          <w:szCs w:val="20"/>
        </w:rPr>
        <w:t xml:space="preserve">Tip: </w:t>
      </w:r>
      <w:r>
        <w:rPr>
          <w:rFonts w:ascii="Arial" w:cs="Arial" w:eastAsia="Arial" w:hAnsi="Arial"/>
          <w:i/>
          <w:iCs/>
          <w:sz w:val="20"/>
          <w:szCs w:val="20"/>
        </w:rPr>
        <w:t xml:space="preserve">These numbers come from the Context Graph, not from manual entry. They update automatically as new signals, decisions, and outcomes are recorded.</w:t>
      </w:r>
    </w:p>
    <w:p>
      <w:pPr>
        <w:pStyle w:val="Heading2"/>
      </w:pPr>
      <w:r>
        <w:t xml:space="preserve">2.2 KPI Metrics Row</w:t>
      </w:r>
    </w:p>
    <w:p>
      <w:pPr>
        <w:pStyle w:val="ListParagraph"/>
        <w:numPr>
          <w:ilvl w:val="0"/>
          <w:numId w:val="3"/>
        </w:numPr>
      </w:pPr>
      <w:r>
        <w:rPr>
          <w:b/>
          <w:bCs/>
        </w:rPr>
        <w:t xml:space="preserve">Avg Health Score: </w:t>
      </w:r>
      <w:r>
        <w:t xml:space="preserve">Revenue-weighted average across all 18 accounts. Higher ARR accounts pull the average more.</w:t>
      </w:r>
    </w:p>
    <w:p>
      <w:pPr>
        <w:pStyle w:val="ListParagraph"/>
        <w:numPr>
          <w:ilvl w:val="0"/>
          <w:numId w:val="3"/>
        </w:numPr>
      </w:pPr>
      <w:r>
        <w:rPr>
          <w:b/>
          <w:bCs/>
        </w:rPr>
        <w:t xml:space="preserve">Playbook ROI: </w:t>
      </w:r>
      <w:r>
        <w:t xml:space="preserve">Return on CS investment. Calculated from real pillar score improvements over 6 months. Labeled as estimated (industry benchmarks).</w:t>
      </w:r>
    </w:p>
    <w:p>
      <w:pPr>
        <w:pStyle w:val="ListParagraph"/>
        <w:numPr>
          <w:ilvl w:val="0"/>
          <w:numId w:val="3"/>
        </w:numPr>
      </w:pPr>
      <w:r>
        <w:rPr>
          <w:b/>
          <w:bCs/>
        </w:rPr>
        <w:t xml:space="preserve">NRR Projection: </w:t>
      </w:r>
      <w:r>
        <w:t xml:space="preserve">Net Revenue Retention forecast based on current health trajectory.</w:t>
      </w:r>
    </w:p>
    <w:p>
      <w:pPr>
        <w:spacing w:after="80"/>
      </w:pPr>
    </w:p>
    <w:p>
      <w:pPr>
        <w:pStyle w:val="Heading2"/>
      </w:pPr>
      <w:r>
        <w:t xml:space="preserve">2.3 Story Arcs</w:t>
      </w:r>
    </w:p>
    <w:p>
      <w:pPr>
        <w:spacing w:after="120"/>
      </w:pPr>
      <w:r>
        <w:t xml:space="preserve">Story arcs are narrative patterns detected across your accounts by the Context Graph. Each arc shows how many accounts are affected and the associated revenue impact. Click an arc to see the accounts involved.</w:t>
      </w:r>
    </w:p>
    <w:p>
      <w:pPr>
        <w:pStyle w:val="Heading2"/>
      </w:pPr>
      <w:r>
        <w:t xml:space="preserve">2.4 Highest Risk Accounts</w:t>
      </w:r>
    </w:p>
    <w:p>
      <w:pPr>
        <w:spacing w:after="80"/>
      </w:pPr>
      <w:r>
        <w:t xml:space="preserve">Shows accounts with health scores below 70 (at-risk threshold). For Sandalwood Capital, expect to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16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Health</w:t>
            </w:r>
          </w:p>
        </w:tc>
        <w:tc>
          <w:tcPr>
            <w:tcW w:type="dxa" w:w="16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ARR</w:t>
            </w:r>
          </w:p>
        </w:tc>
        <w:tc>
          <w:tcPr>
            <w:tcW w:type="dxa" w:w="29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Ironridge Manufacturing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Risk — lowest health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Clearwater Health Platform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Risk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Vertex Compute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Risk — highest ARR at risk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 Cybersecurity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Risk — borderline</w:t>
            </w:r>
          </w:p>
        </w:tc>
      </w:tr>
    </w:tbl>
    <w:p>
      <w:pPr>
        <w:pBdr>
          <w:left w:val="single" w:color="06b6d4" w:sz="12" w:space="8"/>
        </w:pBdr>
        <w:spacing w:after="120" w:before="120"/>
        <w:ind w:left="360" w:right="360"/>
      </w:pPr>
      <w:r>
        <w:rPr>
          <w:rFonts w:ascii="Arial" w:cs="Arial" w:eastAsia="Arial" w:hAnsi="Arial"/>
          <w:b/>
          <w:bCs/>
          <w:color w:val="06b6d4"/>
          <w:sz w:val="20"/>
          <w:szCs w:val="20"/>
        </w:rPr>
        <w:t xml:space="preserve">Tip: </w:t>
      </w:r>
      <w:r>
        <w:rPr>
          <w:rFonts w:ascii="Arial" w:cs="Arial" w:eastAsia="Arial" w:hAnsi="Arial"/>
          <w:i/>
          <w:iCs/>
          <w:sz w:val="20"/>
          <w:szCs w:val="20"/>
        </w:rPr>
        <w:t xml:space="preserve">Click any account card to see its detailed health breakdown across 5 pillars (P1-P5).</w:t>
      </w:r>
    </w:p>
    <w:p>
      <w:r>
        <w:br w:type="page"/>
      </w:r>
    </w:p>
    <w:p>
      <w:pPr>
        <w:pStyle w:val="Heading1"/>
      </w:pPr>
      <w:r>
        <w:t xml:space="preserve">3. CFO Dashboard (Investment Intelligence)</w:t>
      </w:r>
    </w:p>
    <w:p>
      <w:pPr>
        <w:spacing w:after="120"/>
      </w:pPr>
      <w:r>
        <w:t xml:space="preserve">Click </w:t>
      </w:r>
      <w:r>
        <w:rPr>
          <w:b/>
          <w:bCs/>
        </w:rPr>
        <w:t xml:space="preserve">CFO View</w:t>
      </w:r>
      <w:r>
        <w:t xml:space="preserve"> in the left sidebar. This view focuses on CS investment returns.</w:t>
      </w:r>
    </w:p>
    <w:p>
      <w:pPr>
        <w:pStyle w:val="Heading2"/>
      </w:pPr>
      <w:r>
        <w:t xml:space="preserve">3.1 Key Metrics</w:t>
      </w:r>
    </w:p>
    <w:p>
      <w:pPr>
        <w:pStyle w:val="ListParagraph"/>
        <w:numPr>
          <w:ilvl w:val="0"/>
          <w:numId w:val="3"/>
        </w:numPr>
      </w:pPr>
      <w:r>
        <w:rPr>
          <w:b/>
          <w:bCs/>
        </w:rPr>
        <w:t xml:space="preserve">Portfolio ROI: </w:t>
      </w:r>
      <w:r>
        <w:t xml:space="preserve">CS investment return. Shows historical ROI from pillar score improvements. Labeled as estimated based on industry benchmarks (TSIA, Gainsight Pulse).</w:t>
      </w:r>
    </w:p>
    <w:p>
      <w:pPr>
        <w:pStyle w:val="ListParagraph"/>
        <w:numPr>
          <w:ilvl w:val="0"/>
          <w:numId w:val="3"/>
        </w:numPr>
      </w:pPr>
      <w:r>
        <w:rPr>
          <w:b/>
          <w:bCs/>
        </w:rPr>
        <w:t xml:space="preserve">NRR: </w:t>
      </w:r>
      <w:r>
        <w:t xml:space="preserve">Net Revenue Retention — target is &gt;100%. Shows current rate with trend.</w:t>
      </w:r>
    </w:p>
    <w:p>
      <w:pPr>
        <w:pStyle w:val="ListParagraph"/>
        <w:numPr>
          <w:ilvl w:val="0"/>
          <w:numId w:val="3"/>
        </w:numPr>
      </w:pPr>
      <w:r>
        <w:rPr>
          <w:b/>
          <w:bCs/>
        </w:rPr>
        <w:t xml:space="preserve">GRR: </w:t>
      </w:r>
      <w:r>
        <w:t xml:space="preserve">Gross Revenue Retention — measures churn excluding expansion.</w:t>
      </w:r>
    </w:p>
    <w:p>
      <w:pPr>
        <w:spacing w:after="80"/>
      </w:pPr>
    </w:p>
    <w:p>
      <w:pPr>
        <w:pStyle w:val="Heading2"/>
      </w:pPr>
      <w:r>
        <w:t xml:space="preserve">3.2 Power of 1 Table</w:t>
      </w:r>
    </w:p>
    <w:p>
      <w:pPr>
        <w:spacing w:after="120"/>
      </w:pPr>
      <w:r>
        <w:t xml:space="preserve">Shows the dollar impact of a 1% improvement in each business metric. This uses the Power of 1 framework: for every 1% improvement in NRR, TTFV, GRR, etc., how much revenue impact does that create at your $68.7M ARR scale?</w:t>
      </w:r>
    </w:p>
    <w:p>
      <w:pPr>
        <w:pStyle w:val="Heading2"/>
      </w:pPr>
      <w:r>
        <w:t xml:space="preserve">3.3 ROI Scaling Scenarios</w:t>
      </w:r>
    </w:p>
    <w:p>
      <w:pPr>
        <w:spacing w:after="80"/>
      </w:pPr>
      <w:r>
        <w:t xml:space="preserve">Three investment tiers showing how ROI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Investment</w:t>
            </w:r>
          </w:p>
        </w:tc>
        <w:tc>
          <w:tcPr>
            <w:tcW w:type="dxa" w:w="2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ROI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~$653K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Celebrate (6%)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~$16.6M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~5.5x</w:t>
            </w:r>
          </w:p>
        </w:tc>
      </w:tr>
    </w:tbl>
    <w:p>
      <w:pPr>
        <w:pBdr>
          <w:left w:val="single" w:color="06b6d4" w:sz="12" w:space="8"/>
        </w:pBdr>
        <w:spacing w:after="120" w:before="120"/>
        <w:ind w:left="360" w:right="360"/>
      </w:pPr>
      <w:r>
        <w:rPr>
          <w:rFonts w:ascii="Arial" w:cs="Arial" w:eastAsia="Arial" w:hAnsi="Arial"/>
          <w:b/>
          <w:bCs/>
          <w:color w:val="06b6d4"/>
          <w:sz w:val="20"/>
          <w:szCs w:val="20"/>
        </w:rPr>
        <w:t xml:space="preserve">Tip: </w:t>
      </w:r>
      <w:r>
        <w:rPr>
          <w:rFonts w:ascii="Arial" w:cs="Arial" w:eastAsia="Arial" w:hAnsi="Arial"/>
          <w:i/>
          <w:iCs/>
          <w:sz w:val="20"/>
          <w:szCs w:val="20"/>
        </w:rPr>
        <w:t xml:space="preserve">Investment amounts scale with the improvement target — they are NOT fixed. A 4% improvement requires proportionally more CSM hours, playbook executions, and platform investment than 1%.</w:t>
      </w:r>
    </w:p>
    <w:p>
      <w:r>
        <w:br w:type="page"/>
      </w:r>
    </w:p>
    <w:p>
      <w:pPr>
        <w:pStyle w:val="Heading1"/>
      </w:pPr>
      <w:r>
        <w:t xml:space="preserve">4. Accounts View</w:t>
      </w:r>
    </w:p>
    <w:p>
      <w:pPr>
        <w:spacing w:after="120"/>
      </w:pPr>
      <w:r>
        <w:t xml:space="preserve">Click </w:t>
      </w:r>
      <w:r>
        <w:rPr>
          <w:b/>
          <w:bCs/>
        </w:rPr>
        <w:t xml:space="preserve">Accounts</w:t>
      </w:r>
      <w:r>
        <w:t xml:space="preserve"> in the left sidebar. This shows all 18 accounts with their health scores and pillar breakdown.</w:t>
      </w:r>
    </w:p>
    <w:p>
      <w:pPr>
        <w:pStyle w:val="Heading2"/>
      </w:pPr>
      <w:r>
        <w:t xml:space="preserve">4.1 Pillar Heatmap</w:t>
      </w:r>
    </w:p>
    <w:p>
      <w:pPr>
        <w:spacing w:after="120"/>
      </w:pPr>
      <w:r>
        <w:t xml:space="preserve">Each account shows scores across 5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Velocity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Time-to-first-workload, installation completion, config accuracy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Stability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RMA rates, MTBF, critical incidents, SLA compliance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 Workload Performance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 utilization, training completion, inference latency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 &amp; Partner Health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engagement, VAR performance, QBR frequency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Expansion Readiness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Capacity utilization, workload growth, expansion signals</w:t>
            </w:r>
          </w:p>
        </w:tc>
      </w:tr>
    </w:tbl>
    <w:p>
      <w:pPr>
        <w:pStyle w:val="Heading2"/>
      </w:pPr>
      <w:r>
        <w:t xml:space="preserve">4.2 Health Thresholds</w:t>
      </w:r>
    </w:p>
    <w:p>
      <w:pPr>
        <w:spacing w:after="80"/>
      </w:pPr>
      <w:r>
        <w:t xml:space="preserve">Accounts are classified by their overall health score:</w:t>
      </w:r>
    </w:p>
    <w:p>
      <w:pPr>
        <w:pStyle w:val="ListParagraph"/>
        <w:numPr>
          <w:ilvl w:val="0"/>
          <w:numId w:val="3"/>
        </w:numPr>
      </w:pPr>
      <w:r>
        <w:rPr>
          <w:b/>
          <w:bCs/>
          <w:color w:val="22c55e"/>
        </w:rPr>
        <w:t xml:space="preserve">Healthy (70-100): </w:t>
      </w:r>
      <w:r>
        <w:t xml:space="preserve">Account is in good standing. 14 of your 18 accounts.</w:t>
      </w:r>
    </w:p>
    <w:p>
      <w:pPr>
        <w:pStyle w:val="ListParagraph"/>
        <w:numPr>
          <w:ilvl w:val="0"/>
          <w:numId w:val="3"/>
        </w:numPr>
      </w:pPr>
      <w:r>
        <w:rPr>
          <w:b/>
          <w:bCs/>
          <w:color w:val="eab308"/>
        </w:rPr>
        <w:t xml:space="preserve">At Risk (50-69): </w:t>
      </w:r>
      <w:r>
        <w:t xml:space="preserve">Account needs attention. 4 of your 18 accounts ($23.3M ARR).</w:t>
      </w:r>
    </w:p>
    <w:p>
      <w:pPr>
        <w:pStyle w:val="ListParagraph"/>
        <w:numPr>
          <w:ilvl w:val="0"/>
          <w:numId w:val="3"/>
        </w:numPr>
      </w:pPr>
      <w:r>
        <w:rPr>
          <w:b/>
          <w:bCs/>
          <w:color w:val="ef4444"/>
        </w:rPr>
        <w:t xml:space="preserve">Critical (0-49): </w:t>
      </w:r>
      <w:r>
        <w:t xml:space="preserve">Urgent intervention needed. Currently 0 accounts.</w:t>
      </w:r>
    </w:p>
    <w:p>
      <w:r>
        <w:br w:type="page"/>
      </w:r>
    </w:p>
    <w:p>
      <w:pPr>
        <w:pStyle w:val="Heading1"/>
      </w:pPr>
      <w:r>
        <w:t xml:space="preserve">5. Ask AI (Revenue Advisor)</w:t>
      </w:r>
    </w:p>
    <w:p>
      <w:pPr>
        <w:spacing w:after="120"/>
      </w:pPr>
      <w:r>
        <w:t xml:space="preserve">Click the </w:t>
      </w:r>
      <w:r>
        <w:rPr>
          <w:b/>
          <w:bCs/>
        </w:rPr>
        <w:t xml:space="preserve">Ask AI</w:t>
      </w:r>
      <w:r>
        <w:t xml:space="preserve"> button in the bottom-right corner of any dashboard. This opens a conversational AI assistant powered by Claude.</w:t>
      </w:r>
    </w:p>
    <w:p>
      <w:pPr>
        <w:pStyle w:val="Heading2"/>
      </w:pPr>
      <w:r>
        <w:t xml:space="preserve">5.1 What You Can Ask</w:t>
      </w:r>
    </w:p>
    <w:p>
      <w:pPr>
        <w:spacing w:after="80"/>
      </w:pPr>
      <w:r>
        <w:t xml:space="preserve">Ask AI has access to all your account data, health scores, context graph, and ROI engine. Example questions:</w:t>
      </w:r>
    </w:p>
    <w:p>
      <w:pPr>
        <w:pStyle w:val="ListParagraph"/>
        <w:numPr>
          <w:ilvl w:val="0"/>
          <w:numId w:val="3"/>
        </w:numPr>
      </w:pPr>
      <w:r>
        <w:rPr>
          <w:i/>
          <w:iCs/>
        </w:rPr>
        <w:t xml:space="preserve">"Which accounts have the highest churn risk?"</w:t>
      </w:r>
      <w:r>
        <w:t xml:space="preserve"> — Returns at-risk accounts with health scores and ARR</w:t>
      </w:r>
    </w:p>
    <w:p>
      <w:pPr>
        <w:pStyle w:val="ListParagraph"/>
        <w:numPr>
          <w:ilvl w:val="0"/>
          <w:numId w:val="3"/>
        </w:numPr>
      </w:pPr>
      <w:r>
        <w:rPr>
          <w:i/>
          <w:iCs/>
        </w:rPr>
        <w:t xml:space="preserve">"Show me the context graph for Vertex Compute"</w:t>
      </w:r>
      <w:r>
        <w:t xml:space="preserve"> — Renders a visual Mermaid diagram of signals, decisions, outcomes</w:t>
      </w:r>
    </w:p>
    <w:p>
      <w:pPr>
        <w:pStyle w:val="ListParagraph"/>
        <w:numPr>
          <w:ilvl w:val="0"/>
          <w:numId w:val="3"/>
        </w:numPr>
      </w:pPr>
      <w:r>
        <w:rPr>
          <w:i/>
          <w:iCs/>
        </w:rPr>
        <w:t xml:space="preserve">"What is the ROI impact of improving NRR by 1%?"</w:t>
      </w:r>
      <w:r>
        <w:t xml:space="preserve"> — Calls Power of 1 engine with your portfolio ARR</w:t>
      </w:r>
    </w:p>
    <w:p>
      <w:pPr>
        <w:pStyle w:val="ListParagraph"/>
        <w:numPr>
          <w:ilvl w:val="0"/>
          <w:numId w:val="3"/>
        </w:numPr>
      </w:pPr>
      <w:r>
        <w:rPr>
          <w:i/>
          <w:iCs/>
        </w:rPr>
        <w:t xml:space="preserve">"What should my CSMs focus on today?"</w:t>
      </w:r>
      <w:r>
        <w:t xml:space="preserve"> — Returns prioritized actions with playbook recommendations</w:t>
      </w:r>
    </w:p>
    <w:p>
      <w:pPr>
        <w:pStyle w:val="ListParagraph"/>
        <w:numPr>
          <w:ilvl w:val="0"/>
          <w:numId w:val="3"/>
        </w:numPr>
      </w:pPr>
      <w:r>
        <w:rPr>
          <w:i/>
          <w:iCs/>
        </w:rPr>
        <w:t xml:space="preserve">"Give me the board-ready portfolio summary"</w:t>
      </w:r>
      <w:r>
        <w:t xml:space="preserve"> — CEO-level synthesis with strategic risks</w:t>
      </w:r>
    </w:p>
    <w:p>
      <w:pPr>
        <w:spacing w:after="80"/>
      </w:pPr>
    </w:p>
    <w:p>
      <w:pPr>
        <w:pStyle w:val="Heading2"/>
      </w:pPr>
      <w:r>
        <w:t xml:space="preserve">5.2 Rich Artifacts</w:t>
      </w:r>
    </w:p>
    <w:p>
      <w:pPr>
        <w:spacing w:after="120"/>
      </w:pPr>
      <w:r>
        <w:t xml:space="preserve">Ask AI renders structured data alongside its narrative response:</w:t>
      </w:r>
    </w:p>
    <w:p>
      <w:pPr>
        <w:pStyle w:val="ListParagraph"/>
        <w:numPr>
          <w:ilvl w:val="0"/>
          <w:numId w:val="3"/>
        </w:numPr>
      </w:pPr>
      <w:r>
        <w:rPr>
          <w:b/>
          <w:bCs/>
        </w:rPr>
        <w:t xml:space="preserve">Tables: </w:t>
      </w:r>
      <w:r>
        <w:t xml:space="preserve">Account lists, stakeholder maps, daily actions — sortable and expandable</w:t>
      </w:r>
    </w:p>
    <w:p>
      <w:pPr>
        <w:pStyle w:val="ListParagraph"/>
        <w:numPr>
          <w:ilvl w:val="0"/>
          <w:numId w:val="3"/>
        </w:numPr>
      </w:pPr>
      <w:r>
        <w:rPr>
          <w:b/>
          <w:bCs/>
        </w:rPr>
        <w:t xml:space="preserve">Metric Cards: </w:t>
      </w:r>
      <w:r>
        <w:t xml:space="preserve">Revenue at risk, Power of 1 impact — color-coded</w:t>
      </w:r>
    </w:p>
    <w:p>
      <w:pPr>
        <w:pStyle w:val="ListParagraph"/>
        <w:numPr>
          <w:ilvl w:val="0"/>
          <w:numId w:val="3"/>
        </w:numPr>
      </w:pPr>
      <w:r>
        <w:rPr>
          <w:b/>
          <w:bCs/>
        </w:rPr>
        <w:t xml:space="preserve">Mermaid Diagrams: </w:t>
      </w:r>
      <w:r>
        <w:t xml:space="preserve">Context graph flowcharts showing Signal → Decision → Outcome causal chains</w:t>
      </w:r>
    </w:p>
    <w:p>
      <w:pPr>
        <w:pBdr>
          <w:left w:val="single" w:color="06b6d4" w:sz="12" w:space="8"/>
        </w:pBdr>
        <w:spacing w:after="120" w:before="120"/>
        <w:ind w:left="360" w:right="360"/>
      </w:pPr>
      <w:r>
        <w:rPr>
          <w:rFonts w:ascii="Arial" w:cs="Arial" w:eastAsia="Arial" w:hAnsi="Arial"/>
          <w:b/>
          <w:bCs/>
          <w:color w:val="06b6d4"/>
          <w:sz w:val="20"/>
          <w:szCs w:val="20"/>
        </w:rPr>
        <w:t xml:space="preserve">Tip: </w:t>
      </w:r>
      <w:r>
        <w:rPr>
          <w:rFonts w:ascii="Arial" w:cs="Arial" w:eastAsia="Arial" w:hAnsi="Arial"/>
          <w:i/>
          <w:iCs/>
          <w:sz w:val="20"/>
          <w:szCs w:val="20"/>
        </w:rPr>
        <w:t xml:space="preserve">Ask AI adapts to your persona. On the CRO dashboard it focuses on revenue impact. On CFO it focuses on ROI and investment efficiency.</w:t>
      </w:r>
    </w:p>
    <w:p>
      <w:r>
        <w:br w:type="page"/>
      </w:r>
    </w:p>
    <w:p>
      <w:pPr>
        <w:pStyle w:val="Heading1"/>
      </w:pPr>
      <w:r>
        <w:t xml:space="preserve">6. Key Metrics Reference</w:t>
      </w:r>
    </w:p>
    <w:p>
      <w:pPr>
        <w:spacing w:after="120"/>
      </w:pPr>
      <w:r>
        <w:t xml:space="preserve">Quick reference for the numbers you will see across dashboards for Sandalwood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Accounts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 table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ARR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$68,700,000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 table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Health (rev-weighted)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scores + ARR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At-Risk Accounts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&lt; 70 threshold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At-Risk ARR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$23,300,000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at-risk account ARR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at Risk (CG)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~$23.5M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graph OUTCOME nodes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Protected (CG)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graph OUTCOME nodes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Expansion Pipeline (CG)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graph OUTCOME nodes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NRR Projection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ROI snapshot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ROI snapshot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ROI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Pillar score improvements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Graph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 + decisions + outcomes</w:t>
            </w:r>
          </w:p>
        </w:tc>
      </w:tr>
    </w:tbl>
    <w:p>
      <w:pPr>
        <w:spacing w:before="240"/>
      </w:pPr>
    </w:p>
    <w:p>
      <w:pPr>
        <w:pBdr>
          <w:left w:val="single" w:color="06b6d4" w:sz="12" w:space="8"/>
        </w:pBdr>
        <w:spacing w:after="120" w:before="120"/>
        <w:ind w:left="360" w:right="360"/>
      </w:pPr>
      <w:r>
        <w:rPr>
          <w:rFonts w:ascii="Arial" w:cs="Arial" w:eastAsia="Arial" w:hAnsi="Arial"/>
          <w:b/>
          <w:bCs/>
          <w:color w:val="06b6d4"/>
          <w:sz w:val="20"/>
          <w:szCs w:val="20"/>
        </w:rPr>
        <w:t xml:space="preserve">Tip: </w:t>
      </w:r>
      <w:r>
        <w:rPr>
          <w:rFonts w:ascii="Arial" w:cs="Arial" w:eastAsia="Arial" w:hAnsi="Arial"/>
          <w:i/>
          <w:iCs/>
          <w:sz w:val="20"/>
          <w:szCs w:val="20"/>
        </w:rPr>
        <w:t xml:space="preserve">All numbers are derived from real data in the platform. The ROI percentage is labeled as estimated because it uses industry benchmark coefficients (TSIA, Gainsight Pulse) to translate pillar improvements into dollar impact.</w:t>
      </w:r>
    </w:p>
    <w:p>
      <w:pPr>
        <w:pStyle w:val="Heading1"/>
        <w:spacing w:before="240"/>
      </w:pPr>
      <w:r>
        <w:t xml:space="preserve">7. Troubleshooting</w:t>
      </w:r>
    </w:p>
    <w:p>
      <w:pPr>
        <w:pStyle w:val="ListParagraph"/>
        <w:numPr>
          <w:ilvl w:val="0"/>
          <w:numId w:val="3"/>
        </w:numPr>
      </w:pPr>
      <w:r>
        <w:rPr>
          <w:b/>
          <w:bCs/>
        </w:rPr>
        <w:t xml:space="preserve">Dashboard shows error state: </w:t>
      </w:r>
      <w:r>
        <w:t xml:space="preserve">Click Retry. If persistent, check your network connection or contact your CS Pulse administrator.</w:t>
      </w:r>
    </w:p>
    <w:p>
      <w:pPr>
        <w:pStyle w:val="ListParagraph"/>
        <w:numPr>
          <w:ilvl w:val="0"/>
          <w:numId w:val="3"/>
        </w:numPr>
      </w:pPr>
      <w:r>
        <w:rPr>
          <w:b/>
          <w:bCs/>
        </w:rPr>
        <w:t xml:space="preserve">Ask AI returns "API key not configured": </w:t>
      </w:r>
      <w:r>
        <w:t xml:space="preserve">The Anthropic API key needs to be set by your administrator.</w:t>
      </w:r>
    </w:p>
    <w:p>
      <w:pPr>
        <w:pStyle w:val="ListParagraph"/>
        <w:numPr>
          <w:ilvl w:val="0"/>
          <w:numId w:val="3"/>
        </w:numPr>
      </w:pPr>
      <w:r>
        <w:rPr>
          <w:b/>
          <w:bCs/>
        </w:rPr>
        <w:t xml:space="preserve">Health scores show 0: </w:t>
      </w:r>
      <w:r>
        <w:t xml:space="preserve">Data may not have been processed yet. Contact your administrator to run process-data.</w:t>
      </w:r>
    </w:p>
    <w:p>
      <w:pPr>
        <w:pStyle w:val="ListParagraph"/>
        <w:numPr>
          <w:ilvl w:val="0"/>
          <w:numId w:val="3"/>
        </w:numPr>
      </w:pPr>
      <w:r>
        <w:rPr>
          <w:b/>
          <w:bCs/>
        </w:rPr>
        <w:t xml:space="preserve">Pillar scores missing: </w:t>
      </w:r>
      <w:r>
        <w:t xml:space="preserve">KPI data may be incomplete for some accounts. Check the Accounts view for which pillars have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CS Pulse — Confidential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026"/>
      </w:tabs>
    </w:pPr>
    <w:r>
      <w:rPr>
        <w:rFonts w:ascii="Arial" w:cs="Arial" w:eastAsia="Arial" w:hAnsi="Arial"/>
        <w:b/>
        <w:bCs/>
        <w:color w:val="6B7280"/>
        <w:sz w:val="18"/>
        <w:szCs w:val="18"/>
      </w:rPr>
      <w:t xml:space="preserve">CS Pulse</w:t>
    </w:r>
    <w:r>
      <w:rPr>
        <w:rFonts w:ascii="Arial" w:cs="Arial" w:eastAsia="Arial" w:hAnsi="Arial"/>
        <w:color w:val="6B7280"/>
        <w:sz w:val="18"/>
        <w:szCs w:val="18"/>
      </w:rPr>
      <w:t xml:space="preserve">	Sandalwood Capital (ID: 419)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f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0wnah_wfsrpfw42egbk2" Type="http://schemas.openxmlformats.org/officeDocument/2006/relationships/hyperlink" Target="https://d2oqfugrb2ltg9.cloudfront.ne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2026-03-24T22:22:05.973Z</dcterms:created>
  <dcterms:modified xsi:type="dcterms:W3CDTF">2026-03-24T22:22:06.001Z</dcterms:modified>
</cp:coreProperties>
</file>

<file path=docProps/custom.xml><?xml version="1.0" encoding="utf-8"?>
<Properties xmlns="http://schemas.openxmlformats.org/officeDocument/2006/custom-properties" xmlns:vt="http://schemas.openxmlformats.org/officeDocument/2006/docPropsVTypes"/>
</file>