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7A38" w14:textId="7E98F592" w:rsidR="00FA5B6B" w:rsidRPr="006018D3" w:rsidRDefault="00E17F36"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hint="eastAsia"/>
          <w:b/>
          <w:bCs/>
          <w:color w:val="000000" w:themeColor="text1"/>
          <w:lang w:eastAsia="ja-JP"/>
        </w:rPr>
        <w:t xml:space="preserve">Supplementary </w:t>
      </w:r>
      <w:r w:rsidR="00FA5B6B" w:rsidRPr="006018D3">
        <w:rPr>
          <w:rFonts w:ascii="Times New Roman" w:hAnsi="Times New Roman" w:cs="Times New Roman"/>
          <w:b/>
          <w:bCs/>
          <w:color w:val="000000" w:themeColor="text1"/>
          <w:lang w:eastAsia="ja-JP"/>
        </w:rPr>
        <w:t>METHODS</w:t>
      </w:r>
    </w:p>
    <w:p w14:paraId="62E97282"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t>Study design</w:t>
      </w:r>
    </w:p>
    <w:p w14:paraId="30DADFF6" w14:textId="77777777"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 xml:space="preserve">We conducted a prospective study from December 2022 to September 2025 in Japanese patients aged ≥ 15 years who were diagnosed with moderate-to-severe psoriasis based on clinical findings. The participants received a daily oral </w:t>
      </w:r>
      <w:proofErr w:type="spellStart"/>
      <w:r w:rsidRPr="006018D3">
        <w:rPr>
          <w:rFonts w:ascii="Times New Roman" w:hAnsi="Times New Roman" w:cs="Times New Roman"/>
          <w:color w:val="000000" w:themeColor="text1"/>
          <w:lang w:eastAsia="ja-JP"/>
        </w:rPr>
        <w:t>deucravacitinib</w:t>
      </w:r>
      <w:proofErr w:type="spellEnd"/>
      <w:r w:rsidRPr="006018D3">
        <w:rPr>
          <w:rFonts w:ascii="Times New Roman" w:hAnsi="Times New Roman" w:cs="Times New Roman"/>
          <w:color w:val="000000" w:themeColor="text1"/>
          <w:lang w:eastAsia="ja-JP"/>
        </w:rPr>
        <w:t xml:space="preserve"> 6 mg during 52-week period. After comprehensive discussion with physicians, each patient chose </w:t>
      </w:r>
      <w:proofErr w:type="spellStart"/>
      <w:r w:rsidRPr="006018D3">
        <w:rPr>
          <w:rFonts w:ascii="Times New Roman" w:hAnsi="Times New Roman" w:cs="Times New Roman"/>
          <w:color w:val="000000" w:themeColor="text1"/>
          <w:lang w:eastAsia="ja-JP"/>
        </w:rPr>
        <w:t>deucravacitinib</w:t>
      </w:r>
      <w:proofErr w:type="spellEnd"/>
      <w:r w:rsidRPr="006018D3">
        <w:rPr>
          <w:rFonts w:ascii="Times New Roman" w:hAnsi="Times New Roman" w:cs="Times New Roman"/>
          <w:color w:val="000000" w:themeColor="text1"/>
          <w:lang w:eastAsia="ja-JP"/>
        </w:rPr>
        <w:t xml:space="preserve"> 6 mg among available systemic therapies.</w:t>
      </w:r>
    </w:p>
    <w:p w14:paraId="57CEA813"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t>Data collection</w:t>
      </w:r>
    </w:p>
    <w:p w14:paraId="2E12B439" w14:textId="6A355D65"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 xml:space="preserve">At baseline (week 0), we recorded demographic and clinical characteristics, including age, biological sex (male or female), duration of psoriasis, </w:t>
      </w:r>
      <w:r w:rsidR="00776D51" w:rsidRPr="006018D3">
        <w:rPr>
          <w:rFonts w:ascii="Times New Roman" w:hAnsi="Times New Roman" w:cs="Times New Roman" w:hint="eastAsia"/>
          <w:color w:val="000000" w:themeColor="text1"/>
          <w:lang w:eastAsia="ja-JP"/>
        </w:rPr>
        <w:t>B</w:t>
      </w:r>
      <w:r w:rsidRPr="006018D3">
        <w:rPr>
          <w:rFonts w:ascii="Times New Roman" w:hAnsi="Times New Roman" w:cs="Times New Roman"/>
          <w:color w:val="000000" w:themeColor="text1"/>
          <w:lang w:eastAsia="ja-JP"/>
        </w:rPr>
        <w:t xml:space="preserve">ody </w:t>
      </w:r>
      <w:r w:rsidR="00776D51" w:rsidRPr="006018D3">
        <w:rPr>
          <w:rFonts w:ascii="Times New Roman" w:hAnsi="Times New Roman" w:cs="Times New Roman" w:hint="eastAsia"/>
          <w:color w:val="000000" w:themeColor="text1"/>
          <w:lang w:eastAsia="ja-JP"/>
        </w:rPr>
        <w:t>M</w:t>
      </w:r>
      <w:r w:rsidRPr="006018D3">
        <w:rPr>
          <w:rFonts w:ascii="Times New Roman" w:hAnsi="Times New Roman" w:cs="Times New Roman"/>
          <w:color w:val="000000" w:themeColor="text1"/>
          <w:lang w:eastAsia="ja-JP"/>
        </w:rPr>
        <w:t xml:space="preserve">ass </w:t>
      </w:r>
      <w:r w:rsidR="00776D51" w:rsidRPr="006018D3">
        <w:rPr>
          <w:rFonts w:ascii="Times New Roman" w:hAnsi="Times New Roman" w:cs="Times New Roman" w:hint="eastAsia"/>
          <w:color w:val="000000" w:themeColor="text1"/>
          <w:lang w:eastAsia="ja-JP"/>
        </w:rPr>
        <w:t>I</w:t>
      </w:r>
      <w:r w:rsidRPr="006018D3">
        <w:rPr>
          <w:rFonts w:ascii="Times New Roman" w:hAnsi="Times New Roman" w:cs="Times New Roman"/>
          <w:color w:val="000000" w:themeColor="text1"/>
          <w:lang w:eastAsia="ja-JP"/>
        </w:rPr>
        <w:t xml:space="preserve">ndex (BMI), the presence of </w:t>
      </w:r>
      <w:r w:rsidR="00776D51" w:rsidRPr="006018D3">
        <w:rPr>
          <w:rFonts w:ascii="Times New Roman" w:hAnsi="Times New Roman" w:cs="Times New Roman" w:hint="eastAsia"/>
          <w:color w:val="000000" w:themeColor="text1"/>
          <w:lang w:eastAsia="ja-JP"/>
        </w:rPr>
        <w:t>P</w:t>
      </w:r>
      <w:r w:rsidRPr="006018D3">
        <w:rPr>
          <w:rFonts w:ascii="Times New Roman" w:hAnsi="Times New Roman" w:cs="Times New Roman"/>
          <w:color w:val="000000" w:themeColor="text1"/>
          <w:lang w:eastAsia="ja-JP"/>
        </w:rPr>
        <w:t xml:space="preserve">soriatic </w:t>
      </w:r>
      <w:r w:rsidR="00776D51" w:rsidRPr="006018D3">
        <w:rPr>
          <w:rFonts w:ascii="Times New Roman" w:hAnsi="Times New Roman" w:cs="Times New Roman" w:hint="eastAsia"/>
          <w:color w:val="000000" w:themeColor="text1"/>
          <w:lang w:eastAsia="ja-JP"/>
        </w:rPr>
        <w:t>A</w:t>
      </w:r>
      <w:r w:rsidRPr="006018D3">
        <w:rPr>
          <w:rFonts w:ascii="Times New Roman" w:hAnsi="Times New Roman" w:cs="Times New Roman"/>
          <w:color w:val="000000" w:themeColor="text1"/>
          <w:lang w:eastAsia="ja-JP"/>
        </w:rPr>
        <w:t xml:space="preserve">rthritis (PsA), genital, scalp, and nail lesions. We also recorded comorbidities such as diabetes and cardiovascular diseases, current smoking status, and any previous systemic treatments (apremilast or biologics). We assessed baseline disease severity using </w:t>
      </w:r>
      <w:proofErr w:type="spellStart"/>
      <w:r w:rsidRPr="006018D3">
        <w:rPr>
          <w:rFonts w:ascii="Times New Roman" w:hAnsi="Times New Roman" w:cs="Times New Roman"/>
          <w:color w:val="000000" w:themeColor="text1"/>
          <w:lang w:eastAsia="ja-JP"/>
        </w:rPr>
        <w:t>sPGA</w:t>
      </w:r>
      <w:proofErr w:type="spellEnd"/>
      <w:r w:rsidRPr="006018D3">
        <w:rPr>
          <w:rFonts w:ascii="Times New Roman" w:hAnsi="Times New Roman" w:cs="Times New Roman"/>
          <w:color w:val="000000" w:themeColor="text1"/>
          <w:lang w:eastAsia="ja-JP"/>
        </w:rPr>
        <w:t xml:space="preserve">, total PASI score, PASI scores on four anatomical sites (head and neck, trunk, upper limbs, lower limbs), and </w:t>
      </w:r>
      <w:r w:rsidR="00776D51" w:rsidRPr="006018D3">
        <w:rPr>
          <w:rFonts w:ascii="Times New Roman" w:hAnsi="Times New Roman" w:cs="Times New Roman" w:hint="eastAsia"/>
          <w:color w:val="000000" w:themeColor="text1"/>
          <w:lang w:eastAsia="ja-JP"/>
        </w:rPr>
        <w:t>D</w:t>
      </w:r>
      <w:r w:rsidRPr="006018D3">
        <w:rPr>
          <w:rFonts w:ascii="Times New Roman" w:hAnsi="Times New Roman" w:cs="Times New Roman"/>
          <w:color w:val="000000" w:themeColor="text1"/>
          <w:lang w:eastAsia="ja-JP"/>
        </w:rPr>
        <w:t xml:space="preserve">ermatology </w:t>
      </w:r>
      <w:r w:rsidR="00776D51" w:rsidRPr="006018D3">
        <w:rPr>
          <w:rFonts w:ascii="Times New Roman" w:hAnsi="Times New Roman" w:cs="Times New Roman" w:hint="eastAsia"/>
          <w:color w:val="000000" w:themeColor="text1"/>
          <w:lang w:eastAsia="ja-JP"/>
        </w:rPr>
        <w:t>L</w:t>
      </w:r>
      <w:r w:rsidRPr="006018D3">
        <w:rPr>
          <w:rFonts w:ascii="Times New Roman" w:hAnsi="Times New Roman" w:cs="Times New Roman"/>
          <w:color w:val="000000" w:themeColor="text1"/>
          <w:lang w:eastAsia="ja-JP"/>
        </w:rPr>
        <w:t xml:space="preserve">ife </w:t>
      </w:r>
      <w:r w:rsidR="00776D51" w:rsidRPr="006018D3">
        <w:rPr>
          <w:rFonts w:ascii="Times New Roman" w:hAnsi="Times New Roman" w:cs="Times New Roman" w:hint="eastAsia"/>
          <w:color w:val="000000" w:themeColor="text1"/>
          <w:lang w:eastAsia="ja-JP"/>
        </w:rPr>
        <w:t>Q</w:t>
      </w:r>
      <w:r w:rsidRPr="006018D3">
        <w:rPr>
          <w:rFonts w:ascii="Times New Roman" w:hAnsi="Times New Roman" w:cs="Times New Roman"/>
          <w:color w:val="000000" w:themeColor="text1"/>
          <w:lang w:eastAsia="ja-JP"/>
        </w:rPr>
        <w:t xml:space="preserve">uality </w:t>
      </w:r>
      <w:r w:rsidR="00776D51" w:rsidRPr="006018D3">
        <w:rPr>
          <w:rFonts w:ascii="Times New Roman" w:hAnsi="Times New Roman" w:cs="Times New Roman" w:hint="eastAsia"/>
          <w:color w:val="000000" w:themeColor="text1"/>
          <w:lang w:eastAsia="ja-JP"/>
        </w:rPr>
        <w:t>I</w:t>
      </w:r>
      <w:r w:rsidRPr="006018D3">
        <w:rPr>
          <w:rFonts w:ascii="Times New Roman" w:hAnsi="Times New Roman" w:cs="Times New Roman"/>
          <w:color w:val="000000" w:themeColor="text1"/>
          <w:lang w:eastAsia="ja-JP"/>
        </w:rPr>
        <w:t>ndex (DLQI). Data from some patients in this 104-week cohort were previously reported at weeks 16-52 under the same protocol,</w:t>
      </w:r>
      <w:r w:rsidRPr="006018D3">
        <w:rPr>
          <w:rFonts w:ascii="Times New Roman" w:hAnsi="Times New Roman" w:cs="Times New Roman"/>
          <w:color w:val="000000" w:themeColor="text1"/>
        </w:rPr>
        <w:t xml:space="preserve"> </w:t>
      </w:r>
      <w:r w:rsidRPr="006018D3">
        <w:rPr>
          <w:rFonts w:ascii="Times New Roman" w:hAnsi="Times New Roman" w:cs="Times New Roman"/>
          <w:color w:val="000000" w:themeColor="text1"/>
          <w:lang w:eastAsia="ja-JP"/>
        </w:rPr>
        <w:t>and the other new patients were enrolled prospectively.</w:t>
      </w:r>
    </w:p>
    <w:p w14:paraId="1E98C7F3"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t>Inclusion and exclusion criteria</w:t>
      </w:r>
    </w:p>
    <w:p w14:paraId="663B7590" w14:textId="77777777"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lastRenderedPageBreak/>
        <w:t xml:space="preserve">We included patients diagnosed with plaque psoriasis, PsA, or erythrodermic psoriasis. Patients who directly switched from other systemic treatments to </w:t>
      </w:r>
      <w:proofErr w:type="spellStart"/>
      <w:r w:rsidRPr="006018D3">
        <w:rPr>
          <w:rFonts w:ascii="Times New Roman" w:hAnsi="Times New Roman" w:cs="Times New Roman"/>
          <w:color w:val="000000" w:themeColor="text1"/>
          <w:lang w:eastAsia="ja-JP"/>
        </w:rPr>
        <w:t>deucravacitinib</w:t>
      </w:r>
      <w:proofErr w:type="spellEnd"/>
      <w:r w:rsidRPr="006018D3">
        <w:rPr>
          <w:rFonts w:ascii="Times New Roman" w:hAnsi="Times New Roman" w:cs="Times New Roman"/>
          <w:color w:val="000000" w:themeColor="text1"/>
          <w:lang w:eastAsia="ja-JP"/>
        </w:rPr>
        <w:t xml:space="preserve"> did so without washout period. For these patients, </w:t>
      </w:r>
      <w:proofErr w:type="spellStart"/>
      <w:r w:rsidRPr="006018D3">
        <w:rPr>
          <w:rFonts w:ascii="Times New Roman" w:hAnsi="Times New Roman" w:cs="Times New Roman"/>
          <w:color w:val="000000" w:themeColor="text1"/>
          <w:lang w:eastAsia="ja-JP"/>
        </w:rPr>
        <w:t>sPGA</w:t>
      </w:r>
      <w:proofErr w:type="spellEnd"/>
      <w:r w:rsidRPr="006018D3">
        <w:rPr>
          <w:rFonts w:ascii="Times New Roman" w:hAnsi="Times New Roman" w:cs="Times New Roman"/>
          <w:color w:val="000000" w:themeColor="text1"/>
          <w:lang w:eastAsia="ja-JP"/>
        </w:rPr>
        <w:t>, site-specific PGA, PASI, and DLQI values at the time of switching were considered as baseline values (week 0).</w:t>
      </w:r>
    </w:p>
    <w:p w14:paraId="121A0FAC" w14:textId="77777777"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 xml:space="preserve">We excluded patients with severe cardiovascular diseases (myocardial infarction, heart failure, stroke), malignancies, active infections, or known hypersensitivity to </w:t>
      </w:r>
      <w:proofErr w:type="spellStart"/>
      <w:r w:rsidRPr="006018D3">
        <w:rPr>
          <w:rFonts w:ascii="Times New Roman" w:hAnsi="Times New Roman" w:cs="Times New Roman"/>
          <w:color w:val="000000" w:themeColor="text1"/>
          <w:lang w:eastAsia="ja-JP"/>
        </w:rPr>
        <w:t>deucravacitinib</w:t>
      </w:r>
      <w:proofErr w:type="spellEnd"/>
      <w:r w:rsidRPr="006018D3">
        <w:rPr>
          <w:rFonts w:ascii="Times New Roman" w:hAnsi="Times New Roman" w:cs="Times New Roman"/>
          <w:color w:val="000000" w:themeColor="text1"/>
          <w:lang w:eastAsia="ja-JP"/>
        </w:rPr>
        <w:t xml:space="preserve"> or its components. We also excluded pregnant and breastfeeding women. </w:t>
      </w:r>
    </w:p>
    <w:p w14:paraId="0CD804B7"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t>Therapeutic effectiveness</w:t>
      </w:r>
    </w:p>
    <w:p w14:paraId="5639A20B" w14:textId="3B29702B"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 xml:space="preserve">We examined the achievement rates of </w:t>
      </w:r>
      <w:proofErr w:type="spellStart"/>
      <w:r w:rsidRPr="006018D3">
        <w:rPr>
          <w:rFonts w:ascii="Times New Roman" w:hAnsi="Times New Roman" w:cs="Times New Roman"/>
          <w:color w:val="000000" w:themeColor="text1"/>
          <w:lang w:eastAsia="ja-JP"/>
        </w:rPr>
        <w:t>sPGA</w:t>
      </w:r>
      <w:proofErr w:type="spellEnd"/>
      <w:r w:rsidRPr="006018D3">
        <w:rPr>
          <w:rFonts w:ascii="Times New Roman" w:hAnsi="Times New Roman" w:cs="Times New Roman"/>
          <w:color w:val="000000" w:themeColor="text1"/>
          <w:lang w:eastAsia="ja-JP"/>
        </w:rPr>
        <w:t xml:space="preserve"> 0/1 or DLQI 0/1 (score 0 or 1 with ≥ 2-point reduction from baseline) among the patients who showed </w:t>
      </w:r>
      <w:proofErr w:type="spellStart"/>
      <w:r w:rsidRPr="006018D3">
        <w:rPr>
          <w:rFonts w:ascii="Times New Roman" w:hAnsi="Times New Roman" w:cs="Times New Roman"/>
          <w:color w:val="000000" w:themeColor="text1"/>
          <w:lang w:eastAsia="ja-JP"/>
        </w:rPr>
        <w:t>sPGA</w:t>
      </w:r>
      <w:proofErr w:type="spellEnd"/>
      <w:r w:rsidRPr="006018D3">
        <w:rPr>
          <w:rFonts w:ascii="Times New Roman" w:hAnsi="Times New Roman" w:cs="Times New Roman"/>
          <w:color w:val="000000" w:themeColor="text1"/>
          <w:lang w:eastAsia="ja-JP"/>
        </w:rPr>
        <w:t xml:space="preserve"> or DLQI ≥ 2 at week 0, respectively. The severity of genital, nail, or scalp lesions was evaluated at weeks 0, 4, 16, 28, 40, 52, 68, 80, 92, and 104, by genital-PGA, PGA of </w:t>
      </w:r>
      <w:r w:rsidR="00776D51" w:rsidRPr="006018D3">
        <w:rPr>
          <w:rFonts w:ascii="Times New Roman" w:hAnsi="Times New Roman" w:cs="Times New Roman" w:hint="eastAsia"/>
          <w:color w:val="000000" w:themeColor="text1"/>
          <w:lang w:eastAsia="ja-JP"/>
        </w:rPr>
        <w:t>F</w:t>
      </w:r>
      <w:r w:rsidRPr="006018D3">
        <w:rPr>
          <w:rFonts w:ascii="Times New Roman" w:hAnsi="Times New Roman" w:cs="Times New Roman"/>
          <w:color w:val="000000" w:themeColor="text1"/>
          <w:lang w:eastAsia="ja-JP"/>
        </w:rPr>
        <w:t xml:space="preserve">ingernails (PGA-F), or </w:t>
      </w:r>
      <w:r w:rsidR="00776D51" w:rsidRPr="006018D3">
        <w:rPr>
          <w:rFonts w:ascii="Times New Roman" w:hAnsi="Times New Roman" w:cs="Times New Roman" w:hint="eastAsia"/>
          <w:color w:val="000000" w:themeColor="text1"/>
          <w:lang w:eastAsia="ja-JP"/>
        </w:rPr>
        <w:t>S</w:t>
      </w:r>
      <w:r w:rsidRPr="006018D3">
        <w:rPr>
          <w:rFonts w:ascii="Times New Roman" w:hAnsi="Times New Roman" w:cs="Times New Roman"/>
          <w:color w:val="000000" w:themeColor="text1"/>
          <w:lang w:eastAsia="ja-JP"/>
        </w:rPr>
        <w:t>calp-</w:t>
      </w:r>
      <w:r w:rsidR="00776D51" w:rsidRPr="006018D3">
        <w:rPr>
          <w:rFonts w:ascii="Times New Roman" w:hAnsi="Times New Roman" w:cs="Times New Roman" w:hint="eastAsia"/>
          <w:color w:val="000000" w:themeColor="text1"/>
          <w:lang w:eastAsia="ja-JP"/>
        </w:rPr>
        <w:t>S</w:t>
      </w:r>
      <w:r w:rsidRPr="006018D3">
        <w:rPr>
          <w:rFonts w:ascii="Times New Roman" w:hAnsi="Times New Roman" w:cs="Times New Roman"/>
          <w:color w:val="000000" w:themeColor="text1"/>
          <w:lang w:eastAsia="ja-JP"/>
        </w:rPr>
        <w:t>pecific PGA (ss-PGA), respectively. These site-specific PGAs are scored by a 5-point scale (0 [clear], 1 [almost clear], 2 [mild], moderate [3], or severe [4]) based on the investigator’s assessment of the overall severity of individual lesions. We examined the achievement rates of genital PGA 0/1, PGA-F 0/1, and ss-PGA 0/1 (score 0 or 1 with ≥ 2-point reduction from baseline) at weeks 0, 4, 16, 28, 40, 52, 68, 80, 92, and 104 among the patients who showed each site-specific PGA ≥ 2 at week 0.</w:t>
      </w:r>
    </w:p>
    <w:p w14:paraId="7C0A575C"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lastRenderedPageBreak/>
        <w:t xml:space="preserve">Safety assessment </w:t>
      </w:r>
    </w:p>
    <w:p w14:paraId="33C65CAF" w14:textId="6D0B30DC"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 xml:space="preserve">Safety was assessed by the occurrence of </w:t>
      </w:r>
      <w:r w:rsidR="003A515D" w:rsidRPr="006018D3">
        <w:rPr>
          <w:rFonts w:ascii="Times New Roman" w:hAnsi="Times New Roman" w:cs="Times New Roman" w:hint="eastAsia"/>
          <w:color w:val="000000" w:themeColor="text1"/>
          <w:lang w:eastAsia="ja-JP"/>
        </w:rPr>
        <w:t>T</w:t>
      </w:r>
      <w:r w:rsidRPr="006018D3">
        <w:rPr>
          <w:rFonts w:ascii="Times New Roman" w:hAnsi="Times New Roman" w:cs="Times New Roman"/>
          <w:color w:val="000000" w:themeColor="text1"/>
          <w:lang w:eastAsia="ja-JP"/>
        </w:rPr>
        <w:t>reatment-</w:t>
      </w:r>
      <w:r w:rsidR="003A515D" w:rsidRPr="006018D3">
        <w:rPr>
          <w:rFonts w:ascii="Times New Roman" w:hAnsi="Times New Roman" w:cs="Times New Roman" w:hint="eastAsia"/>
          <w:color w:val="000000" w:themeColor="text1"/>
          <w:lang w:eastAsia="ja-JP"/>
        </w:rPr>
        <w:t>E</w:t>
      </w:r>
      <w:r w:rsidRPr="006018D3">
        <w:rPr>
          <w:rFonts w:ascii="Times New Roman" w:hAnsi="Times New Roman" w:cs="Times New Roman"/>
          <w:color w:val="000000" w:themeColor="text1"/>
          <w:lang w:eastAsia="ja-JP"/>
        </w:rPr>
        <w:t xml:space="preserve">mergent </w:t>
      </w:r>
      <w:r w:rsidR="003A515D" w:rsidRPr="006018D3">
        <w:rPr>
          <w:rFonts w:ascii="Times New Roman" w:hAnsi="Times New Roman" w:cs="Times New Roman" w:hint="eastAsia"/>
          <w:color w:val="000000" w:themeColor="text1"/>
          <w:lang w:eastAsia="ja-JP"/>
        </w:rPr>
        <w:t>A</w:t>
      </w:r>
      <w:r w:rsidRPr="006018D3">
        <w:rPr>
          <w:rFonts w:ascii="Times New Roman" w:hAnsi="Times New Roman" w:cs="Times New Roman"/>
          <w:color w:val="000000" w:themeColor="text1"/>
          <w:lang w:eastAsia="ja-JP"/>
        </w:rPr>
        <w:t xml:space="preserve">dverse </w:t>
      </w:r>
      <w:r w:rsidR="003A515D" w:rsidRPr="006018D3">
        <w:rPr>
          <w:rFonts w:ascii="Times New Roman" w:hAnsi="Times New Roman" w:cs="Times New Roman" w:hint="eastAsia"/>
          <w:color w:val="000000" w:themeColor="text1"/>
          <w:lang w:eastAsia="ja-JP"/>
        </w:rPr>
        <w:t>E</w:t>
      </w:r>
      <w:r w:rsidRPr="006018D3">
        <w:rPr>
          <w:rFonts w:ascii="Times New Roman" w:hAnsi="Times New Roman" w:cs="Times New Roman"/>
          <w:color w:val="000000" w:themeColor="text1"/>
          <w:lang w:eastAsia="ja-JP"/>
        </w:rPr>
        <w:t xml:space="preserve">vents (TEAEs) during </w:t>
      </w:r>
      <w:proofErr w:type="spellStart"/>
      <w:r w:rsidRPr="006018D3">
        <w:rPr>
          <w:rFonts w:ascii="Times New Roman" w:hAnsi="Times New Roman" w:cs="Times New Roman"/>
          <w:color w:val="000000" w:themeColor="text1"/>
          <w:lang w:eastAsia="ja-JP"/>
        </w:rPr>
        <w:t>deucravacitinib</w:t>
      </w:r>
      <w:proofErr w:type="spellEnd"/>
      <w:r w:rsidRPr="006018D3">
        <w:rPr>
          <w:rFonts w:ascii="Times New Roman" w:hAnsi="Times New Roman" w:cs="Times New Roman"/>
          <w:color w:val="000000" w:themeColor="text1"/>
          <w:lang w:eastAsia="ja-JP"/>
        </w:rPr>
        <w:t xml:space="preserve"> treatment, until 30 days after the last dose of </w:t>
      </w:r>
      <w:proofErr w:type="spellStart"/>
      <w:r w:rsidRPr="006018D3">
        <w:rPr>
          <w:rFonts w:ascii="Times New Roman" w:hAnsi="Times New Roman" w:cs="Times New Roman"/>
          <w:color w:val="000000" w:themeColor="text1"/>
          <w:lang w:eastAsia="ja-JP"/>
        </w:rPr>
        <w:t>deucravacitinib</w:t>
      </w:r>
      <w:proofErr w:type="spellEnd"/>
      <w:r w:rsidRPr="006018D3">
        <w:rPr>
          <w:rFonts w:ascii="Times New Roman" w:hAnsi="Times New Roman" w:cs="Times New Roman"/>
          <w:color w:val="000000" w:themeColor="text1"/>
          <w:lang w:eastAsia="ja-JP"/>
        </w:rPr>
        <w:t xml:space="preserve">. A TEAE was defined as any </w:t>
      </w:r>
      <w:r w:rsidR="003A515D" w:rsidRPr="006018D3">
        <w:rPr>
          <w:rFonts w:ascii="Times New Roman" w:hAnsi="Times New Roman" w:cs="Times New Roman" w:hint="eastAsia"/>
          <w:color w:val="000000" w:themeColor="text1"/>
          <w:lang w:eastAsia="ja-JP"/>
        </w:rPr>
        <w:t>A</w:t>
      </w:r>
      <w:r w:rsidRPr="006018D3">
        <w:rPr>
          <w:rFonts w:ascii="Times New Roman" w:hAnsi="Times New Roman" w:cs="Times New Roman"/>
          <w:color w:val="000000" w:themeColor="text1"/>
          <w:lang w:eastAsia="ja-JP"/>
        </w:rPr>
        <w:t xml:space="preserve">dverse </w:t>
      </w:r>
      <w:r w:rsidR="003A515D" w:rsidRPr="006018D3">
        <w:rPr>
          <w:rFonts w:ascii="Times New Roman" w:hAnsi="Times New Roman" w:cs="Times New Roman" w:hint="eastAsia"/>
          <w:color w:val="000000" w:themeColor="text1"/>
          <w:lang w:eastAsia="ja-JP"/>
        </w:rPr>
        <w:t>E</w:t>
      </w:r>
      <w:r w:rsidRPr="006018D3">
        <w:rPr>
          <w:rFonts w:ascii="Times New Roman" w:hAnsi="Times New Roman" w:cs="Times New Roman"/>
          <w:color w:val="000000" w:themeColor="text1"/>
          <w:lang w:eastAsia="ja-JP"/>
        </w:rPr>
        <w:t xml:space="preserve">vent (AE) that began or worsened after the initiation of treatment. </w:t>
      </w:r>
    </w:p>
    <w:p w14:paraId="5BDE6D94"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t xml:space="preserve">Ethical considerations </w:t>
      </w:r>
    </w:p>
    <w:p w14:paraId="7F1EB5F5" w14:textId="77777777" w:rsidR="00FA5B6B" w:rsidRPr="006018D3"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This study adhered to the principles of the Declaration of Helsinki (2004) and was approved by the institutional Ethics Committee. All participants provided written informed consent before participating in the study.</w:t>
      </w:r>
    </w:p>
    <w:p w14:paraId="5837671F" w14:textId="77777777" w:rsidR="00FA5B6B" w:rsidRPr="006018D3" w:rsidRDefault="00FA5B6B" w:rsidP="00FA5B6B">
      <w:pPr>
        <w:tabs>
          <w:tab w:val="left" w:pos="700"/>
        </w:tabs>
        <w:spacing w:before="15" w:after="0" w:line="480" w:lineRule="auto"/>
        <w:ind w:right="-20"/>
        <w:rPr>
          <w:rFonts w:ascii="Times New Roman" w:hAnsi="Times New Roman" w:cs="Times New Roman"/>
          <w:b/>
          <w:bCs/>
          <w:color w:val="000000" w:themeColor="text1"/>
          <w:lang w:eastAsia="ja-JP"/>
        </w:rPr>
      </w:pPr>
      <w:r w:rsidRPr="006018D3">
        <w:rPr>
          <w:rFonts w:ascii="Times New Roman" w:hAnsi="Times New Roman" w:cs="Times New Roman"/>
          <w:b/>
          <w:bCs/>
          <w:color w:val="000000" w:themeColor="text1"/>
          <w:lang w:eastAsia="ja-JP"/>
        </w:rPr>
        <w:t>Statistical analysis</w:t>
      </w:r>
    </w:p>
    <w:p w14:paraId="607BF87C" w14:textId="260C2663" w:rsidR="00FA5B6B" w:rsidRPr="004307C0" w:rsidRDefault="00FA5B6B" w:rsidP="00FA5B6B">
      <w:pPr>
        <w:tabs>
          <w:tab w:val="left" w:pos="700"/>
        </w:tabs>
        <w:spacing w:before="15" w:after="0" w:line="480" w:lineRule="auto"/>
        <w:ind w:right="-20"/>
        <w:rPr>
          <w:rFonts w:ascii="Times New Roman" w:hAnsi="Times New Roman" w:cs="Times New Roman"/>
          <w:color w:val="000000" w:themeColor="text1"/>
          <w:lang w:eastAsia="ja-JP"/>
        </w:rPr>
      </w:pPr>
      <w:r w:rsidRPr="006018D3">
        <w:rPr>
          <w:rFonts w:ascii="Times New Roman" w:hAnsi="Times New Roman" w:cs="Times New Roman"/>
          <w:color w:val="000000" w:themeColor="text1"/>
          <w:lang w:eastAsia="ja-JP"/>
        </w:rPr>
        <w:t xml:space="preserve">We presented variables with normal distribution as mean ± </w:t>
      </w:r>
      <w:r w:rsidR="003A515D" w:rsidRPr="006018D3">
        <w:rPr>
          <w:rFonts w:ascii="Times New Roman" w:hAnsi="Times New Roman" w:cs="Times New Roman" w:hint="eastAsia"/>
          <w:color w:val="000000" w:themeColor="text1"/>
          <w:lang w:eastAsia="ja-JP"/>
        </w:rPr>
        <w:t>S</w:t>
      </w:r>
      <w:r w:rsidRPr="006018D3">
        <w:rPr>
          <w:rFonts w:ascii="Times New Roman" w:hAnsi="Times New Roman" w:cs="Times New Roman"/>
          <w:color w:val="000000" w:themeColor="text1"/>
          <w:lang w:eastAsia="ja-JP"/>
        </w:rPr>
        <w:t xml:space="preserve">tandard </w:t>
      </w:r>
      <w:r w:rsidR="003A515D" w:rsidRPr="006018D3">
        <w:rPr>
          <w:rFonts w:ascii="Times New Roman" w:hAnsi="Times New Roman" w:cs="Times New Roman" w:hint="eastAsia"/>
          <w:color w:val="000000" w:themeColor="text1"/>
          <w:lang w:eastAsia="ja-JP"/>
        </w:rPr>
        <w:t>D</w:t>
      </w:r>
      <w:r w:rsidRPr="006018D3">
        <w:rPr>
          <w:rFonts w:ascii="Times New Roman" w:hAnsi="Times New Roman" w:cs="Times New Roman"/>
          <w:color w:val="000000" w:themeColor="text1"/>
          <w:lang w:eastAsia="ja-JP"/>
        </w:rPr>
        <w:t xml:space="preserve">eviation (SD) and variables with nonparametric distribution as median with </w:t>
      </w:r>
      <w:r w:rsidR="003A515D" w:rsidRPr="006018D3">
        <w:rPr>
          <w:rFonts w:ascii="Times New Roman" w:hAnsi="Times New Roman" w:cs="Times New Roman" w:hint="eastAsia"/>
          <w:color w:val="000000" w:themeColor="text1"/>
          <w:lang w:eastAsia="ja-JP"/>
        </w:rPr>
        <w:t>I</w:t>
      </w:r>
      <w:r w:rsidRPr="006018D3">
        <w:rPr>
          <w:rFonts w:ascii="Times New Roman" w:hAnsi="Times New Roman" w:cs="Times New Roman"/>
          <w:color w:val="000000" w:themeColor="text1"/>
          <w:lang w:eastAsia="ja-JP"/>
        </w:rPr>
        <w:t xml:space="preserve">nterquartile </w:t>
      </w:r>
      <w:r w:rsidR="003A515D" w:rsidRPr="006018D3">
        <w:rPr>
          <w:rFonts w:ascii="Times New Roman" w:hAnsi="Times New Roman" w:cs="Times New Roman" w:hint="eastAsia"/>
          <w:color w:val="000000" w:themeColor="text1"/>
          <w:lang w:eastAsia="ja-JP"/>
        </w:rPr>
        <w:t>R</w:t>
      </w:r>
      <w:r w:rsidRPr="006018D3">
        <w:rPr>
          <w:rFonts w:ascii="Times New Roman" w:hAnsi="Times New Roman" w:cs="Times New Roman"/>
          <w:color w:val="000000" w:themeColor="text1"/>
          <w:lang w:eastAsia="ja-JP"/>
        </w:rPr>
        <w:t xml:space="preserve">ange (IQR). We performed analysis based on observation time. All statistical analyses were performed using EZR (Saitama Medical Center, </w:t>
      </w:r>
      <w:proofErr w:type="spellStart"/>
      <w:r w:rsidRPr="006018D3">
        <w:rPr>
          <w:rFonts w:ascii="Times New Roman" w:hAnsi="Times New Roman" w:cs="Times New Roman"/>
          <w:color w:val="000000" w:themeColor="text1"/>
          <w:lang w:eastAsia="ja-JP"/>
        </w:rPr>
        <w:t>Jichi</w:t>
      </w:r>
      <w:proofErr w:type="spellEnd"/>
      <w:r w:rsidRPr="006018D3">
        <w:rPr>
          <w:rFonts w:ascii="Times New Roman" w:hAnsi="Times New Roman" w:cs="Times New Roman"/>
          <w:color w:val="000000" w:themeColor="text1"/>
          <w:lang w:eastAsia="ja-JP"/>
        </w:rPr>
        <w:t xml:space="preserve"> Medical School, Saitama, Japan).</w:t>
      </w:r>
    </w:p>
    <w:p w14:paraId="3C092C10" w14:textId="77777777" w:rsidR="00FA5B6B" w:rsidRDefault="00FA5B6B"/>
    <w:sectPr w:rsidR="00FA5B6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6B"/>
    <w:rsid w:val="003A515D"/>
    <w:rsid w:val="004206F0"/>
    <w:rsid w:val="004B69CE"/>
    <w:rsid w:val="006018D3"/>
    <w:rsid w:val="00634F4C"/>
    <w:rsid w:val="00771222"/>
    <w:rsid w:val="00776D51"/>
    <w:rsid w:val="00783409"/>
    <w:rsid w:val="00944EBF"/>
    <w:rsid w:val="009E5B3F"/>
    <w:rsid w:val="00E17F36"/>
    <w:rsid w:val="00F66A10"/>
    <w:rsid w:val="00FA5B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F2826C"/>
  <w15:chartTrackingRefBased/>
  <w15:docId w15:val="{9A468B18-3058-49DF-98F0-F33E8B8C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B6B"/>
    <w:pPr>
      <w:spacing w:after="160" w:line="259" w:lineRule="auto"/>
    </w:pPr>
    <w:rPr>
      <w:kern w:val="0"/>
      <w:sz w:val="22"/>
      <w:szCs w:val="22"/>
      <w:lang w:eastAsia="en-US"/>
      <w14:ligatures w14:val="none"/>
    </w:rPr>
  </w:style>
  <w:style w:type="paragraph" w:styleId="1">
    <w:name w:val="heading 1"/>
    <w:basedOn w:val="a"/>
    <w:next w:val="a"/>
    <w:link w:val="10"/>
    <w:uiPriority w:val="9"/>
    <w:qFormat/>
    <w:rsid w:val="00FA5B6B"/>
    <w:pPr>
      <w:keepNext/>
      <w:keepLines/>
      <w:widowControl w:val="0"/>
      <w:spacing w:before="280" w:after="80" w:line="240" w:lineRule="auto"/>
      <w:outlineLvl w:val="0"/>
    </w:pPr>
    <w:rPr>
      <w:rFonts w:asciiTheme="majorHAnsi" w:eastAsiaTheme="majorEastAsia" w:hAnsiTheme="majorHAnsi" w:cstheme="majorBidi"/>
      <w:color w:val="000000" w:themeColor="text1"/>
      <w:kern w:val="2"/>
      <w:sz w:val="32"/>
      <w:szCs w:val="32"/>
      <w:lang w:eastAsia="ja-JP"/>
      <w14:ligatures w14:val="standardContextual"/>
    </w:rPr>
  </w:style>
  <w:style w:type="paragraph" w:styleId="2">
    <w:name w:val="heading 2"/>
    <w:basedOn w:val="a"/>
    <w:next w:val="a"/>
    <w:link w:val="20"/>
    <w:uiPriority w:val="9"/>
    <w:semiHidden/>
    <w:unhideWhenUsed/>
    <w:qFormat/>
    <w:rsid w:val="00FA5B6B"/>
    <w:pPr>
      <w:keepNext/>
      <w:keepLines/>
      <w:widowControl w:val="0"/>
      <w:spacing w:before="160" w:after="80" w:line="240" w:lineRule="auto"/>
      <w:outlineLvl w:val="1"/>
    </w:pPr>
    <w:rPr>
      <w:rFonts w:asciiTheme="majorHAnsi" w:eastAsiaTheme="majorEastAsia" w:hAnsiTheme="majorHAnsi" w:cstheme="majorBidi"/>
      <w:color w:val="000000" w:themeColor="text1"/>
      <w:kern w:val="2"/>
      <w:sz w:val="28"/>
      <w:szCs w:val="28"/>
      <w:lang w:eastAsia="ja-JP"/>
      <w14:ligatures w14:val="standardContextual"/>
    </w:rPr>
  </w:style>
  <w:style w:type="paragraph" w:styleId="3">
    <w:name w:val="heading 3"/>
    <w:basedOn w:val="a"/>
    <w:next w:val="a"/>
    <w:link w:val="30"/>
    <w:uiPriority w:val="9"/>
    <w:semiHidden/>
    <w:unhideWhenUsed/>
    <w:qFormat/>
    <w:rsid w:val="00FA5B6B"/>
    <w:pPr>
      <w:keepNext/>
      <w:keepLines/>
      <w:widowControl w:val="0"/>
      <w:spacing w:before="160" w:after="80" w:line="240" w:lineRule="auto"/>
      <w:outlineLvl w:val="2"/>
    </w:pPr>
    <w:rPr>
      <w:rFonts w:asciiTheme="majorHAnsi" w:eastAsiaTheme="majorEastAsia" w:hAnsiTheme="majorHAnsi" w:cstheme="majorBidi"/>
      <w:color w:val="000000" w:themeColor="text1"/>
      <w:kern w:val="2"/>
      <w:sz w:val="24"/>
      <w:szCs w:val="24"/>
      <w:lang w:eastAsia="ja-JP"/>
      <w14:ligatures w14:val="standardContextual"/>
    </w:rPr>
  </w:style>
  <w:style w:type="paragraph" w:styleId="4">
    <w:name w:val="heading 4"/>
    <w:basedOn w:val="a"/>
    <w:next w:val="a"/>
    <w:link w:val="40"/>
    <w:uiPriority w:val="9"/>
    <w:semiHidden/>
    <w:unhideWhenUsed/>
    <w:qFormat/>
    <w:rsid w:val="00FA5B6B"/>
    <w:pPr>
      <w:keepNext/>
      <w:keepLines/>
      <w:widowControl w:val="0"/>
      <w:spacing w:before="80" w:after="40" w:line="240" w:lineRule="auto"/>
      <w:outlineLvl w:val="3"/>
    </w:pPr>
    <w:rPr>
      <w:rFonts w:asciiTheme="majorHAnsi" w:eastAsiaTheme="majorEastAsia" w:hAnsiTheme="majorHAnsi" w:cstheme="majorBidi"/>
      <w:color w:val="000000" w:themeColor="text1"/>
      <w:kern w:val="2"/>
      <w:sz w:val="21"/>
      <w:szCs w:val="24"/>
      <w:lang w:eastAsia="ja-JP"/>
      <w14:ligatures w14:val="standardContextual"/>
    </w:rPr>
  </w:style>
  <w:style w:type="paragraph" w:styleId="5">
    <w:name w:val="heading 5"/>
    <w:basedOn w:val="a"/>
    <w:next w:val="a"/>
    <w:link w:val="50"/>
    <w:uiPriority w:val="9"/>
    <w:semiHidden/>
    <w:unhideWhenUsed/>
    <w:qFormat/>
    <w:rsid w:val="00FA5B6B"/>
    <w:pPr>
      <w:keepNext/>
      <w:keepLines/>
      <w:widowControl w:val="0"/>
      <w:spacing w:before="80" w:after="40" w:line="240" w:lineRule="auto"/>
      <w:ind w:leftChars="100" w:left="100"/>
      <w:outlineLvl w:val="4"/>
    </w:pPr>
    <w:rPr>
      <w:rFonts w:asciiTheme="majorHAnsi" w:eastAsiaTheme="majorEastAsia" w:hAnsiTheme="majorHAnsi" w:cstheme="majorBidi"/>
      <w:color w:val="000000" w:themeColor="text1"/>
      <w:kern w:val="2"/>
      <w:sz w:val="21"/>
      <w:szCs w:val="24"/>
      <w:lang w:eastAsia="ja-JP"/>
      <w14:ligatures w14:val="standardContextual"/>
    </w:rPr>
  </w:style>
  <w:style w:type="paragraph" w:styleId="6">
    <w:name w:val="heading 6"/>
    <w:basedOn w:val="a"/>
    <w:next w:val="a"/>
    <w:link w:val="60"/>
    <w:uiPriority w:val="9"/>
    <w:semiHidden/>
    <w:unhideWhenUsed/>
    <w:qFormat/>
    <w:rsid w:val="00FA5B6B"/>
    <w:pPr>
      <w:keepNext/>
      <w:keepLines/>
      <w:widowControl w:val="0"/>
      <w:spacing w:before="80" w:after="40" w:line="240" w:lineRule="auto"/>
      <w:ind w:leftChars="200" w:left="200"/>
      <w:outlineLvl w:val="5"/>
    </w:pPr>
    <w:rPr>
      <w:rFonts w:asciiTheme="majorHAnsi" w:eastAsiaTheme="majorEastAsia" w:hAnsiTheme="majorHAnsi" w:cstheme="majorBidi"/>
      <w:color w:val="000000" w:themeColor="text1"/>
      <w:kern w:val="2"/>
      <w:sz w:val="21"/>
      <w:szCs w:val="24"/>
      <w:lang w:eastAsia="ja-JP"/>
      <w14:ligatures w14:val="standardContextual"/>
    </w:rPr>
  </w:style>
  <w:style w:type="paragraph" w:styleId="7">
    <w:name w:val="heading 7"/>
    <w:basedOn w:val="a"/>
    <w:next w:val="a"/>
    <w:link w:val="70"/>
    <w:uiPriority w:val="9"/>
    <w:semiHidden/>
    <w:unhideWhenUsed/>
    <w:qFormat/>
    <w:rsid w:val="00FA5B6B"/>
    <w:pPr>
      <w:keepNext/>
      <w:keepLines/>
      <w:widowControl w:val="0"/>
      <w:spacing w:before="80" w:after="40" w:line="240" w:lineRule="auto"/>
      <w:ind w:leftChars="300" w:left="300"/>
      <w:outlineLvl w:val="6"/>
    </w:pPr>
    <w:rPr>
      <w:rFonts w:asciiTheme="majorHAnsi" w:eastAsiaTheme="majorEastAsia" w:hAnsiTheme="majorHAnsi" w:cstheme="majorBidi"/>
      <w:color w:val="000000" w:themeColor="text1"/>
      <w:kern w:val="2"/>
      <w:sz w:val="21"/>
      <w:szCs w:val="24"/>
      <w:lang w:eastAsia="ja-JP"/>
      <w14:ligatures w14:val="standardContextual"/>
    </w:rPr>
  </w:style>
  <w:style w:type="paragraph" w:styleId="8">
    <w:name w:val="heading 8"/>
    <w:basedOn w:val="a"/>
    <w:next w:val="a"/>
    <w:link w:val="80"/>
    <w:uiPriority w:val="9"/>
    <w:semiHidden/>
    <w:unhideWhenUsed/>
    <w:qFormat/>
    <w:rsid w:val="00FA5B6B"/>
    <w:pPr>
      <w:keepNext/>
      <w:keepLines/>
      <w:widowControl w:val="0"/>
      <w:spacing w:before="80" w:after="40" w:line="240" w:lineRule="auto"/>
      <w:ind w:leftChars="400" w:left="400"/>
      <w:outlineLvl w:val="7"/>
    </w:pPr>
    <w:rPr>
      <w:rFonts w:asciiTheme="majorHAnsi" w:eastAsiaTheme="majorEastAsia" w:hAnsiTheme="majorHAnsi" w:cstheme="majorBidi"/>
      <w:color w:val="000000" w:themeColor="text1"/>
      <w:kern w:val="2"/>
      <w:sz w:val="21"/>
      <w:szCs w:val="24"/>
      <w:lang w:eastAsia="ja-JP"/>
      <w14:ligatures w14:val="standardContextual"/>
    </w:rPr>
  </w:style>
  <w:style w:type="paragraph" w:styleId="9">
    <w:name w:val="heading 9"/>
    <w:basedOn w:val="a"/>
    <w:next w:val="a"/>
    <w:link w:val="90"/>
    <w:uiPriority w:val="9"/>
    <w:semiHidden/>
    <w:unhideWhenUsed/>
    <w:qFormat/>
    <w:rsid w:val="00FA5B6B"/>
    <w:pPr>
      <w:keepNext/>
      <w:keepLines/>
      <w:widowControl w:val="0"/>
      <w:spacing w:before="80" w:after="40" w:line="240" w:lineRule="auto"/>
      <w:ind w:leftChars="500" w:left="500"/>
      <w:outlineLvl w:val="8"/>
    </w:pPr>
    <w:rPr>
      <w:rFonts w:asciiTheme="majorHAnsi" w:eastAsiaTheme="majorEastAsia" w:hAnsiTheme="majorHAnsi" w:cstheme="majorBidi"/>
      <w:color w:val="000000" w:themeColor="text1"/>
      <w:kern w:val="2"/>
      <w:sz w:val="21"/>
      <w:szCs w:val="24"/>
      <w:lang w:eastAsia="ja-JP"/>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A5B6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A5B6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A5B6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A5B6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A5B6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A5B6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A5B6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A5B6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A5B6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A5B6B"/>
    <w:pPr>
      <w:widowControl w:val="0"/>
      <w:spacing w:after="80" w:line="240" w:lineRule="auto"/>
      <w:contextualSpacing/>
      <w:jc w:val="center"/>
    </w:pPr>
    <w:rPr>
      <w:rFonts w:asciiTheme="majorHAnsi" w:eastAsiaTheme="majorEastAsia" w:hAnsiTheme="majorHAnsi" w:cstheme="majorBidi"/>
      <w:spacing w:val="-10"/>
      <w:kern w:val="28"/>
      <w:sz w:val="56"/>
      <w:szCs w:val="56"/>
      <w:lang w:eastAsia="ja-JP"/>
      <w14:ligatures w14:val="standardContextual"/>
    </w:rPr>
  </w:style>
  <w:style w:type="character" w:customStyle="1" w:styleId="a4">
    <w:name w:val="表題 (文字)"/>
    <w:basedOn w:val="a0"/>
    <w:link w:val="a3"/>
    <w:uiPriority w:val="10"/>
    <w:rsid w:val="00FA5B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5B6B"/>
    <w:pPr>
      <w:widowControl w:val="0"/>
      <w:numPr>
        <w:ilvl w:val="1"/>
      </w:numPr>
      <w:spacing w:line="240" w:lineRule="auto"/>
      <w:jc w:val="center"/>
    </w:pPr>
    <w:rPr>
      <w:rFonts w:asciiTheme="majorHAnsi" w:eastAsiaTheme="majorEastAsia" w:hAnsiTheme="majorHAnsi" w:cstheme="majorBidi"/>
      <w:color w:val="595959" w:themeColor="text1" w:themeTint="A6"/>
      <w:spacing w:val="15"/>
      <w:kern w:val="2"/>
      <w:sz w:val="28"/>
      <w:szCs w:val="28"/>
      <w:lang w:eastAsia="ja-JP"/>
      <w14:ligatures w14:val="standardContextual"/>
    </w:rPr>
  </w:style>
  <w:style w:type="character" w:customStyle="1" w:styleId="a6">
    <w:name w:val="副題 (文字)"/>
    <w:basedOn w:val="a0"/>
    <w:link w:val="a5"/>
    <w:uiPriority w:val="11"/>
    <w:rsid w:val="00FA5B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5B6B"/>
    <w:pPr>
      <w:widowControl w:val="0"/>
      <w:spacing w:before="160" w:line="240" w:lineRule="auto"/>
      <w:jc w:val="center"/>
    </w:pPr>
    <w:rPr>
      <w:i/>
      <w:iCs/>
      <w:color w:val="404040" w:themeColor="text1" w:themeTint="BF"/>
      <w:kern w:val="2"/>
      <w:sz w:val="21"/>
      <w:szCs w:val="24"/>
      <w:lang w:eastAsia="ja-JP"/>
      <w14:ligatures w14:val="standardContextual"/>
    </w:rPr>
  </w:style>
  <w:style w:type="character" w:customStyle="1" w:styleId="a8">
    <w:name w:val="引用文 (文字)"/>
    <w:basedOn w:val="a0"/>
    <w:link w:val="a7"/>
    <w:uiPriority w:val="29"/>
    <w:rsid w:val="00FA5B6B"/>
    <w:rPr>
      <w:i/>
      <w:iCs/>
      <w:color w:val="404040" w:themeColor="text1" w:themeTint="BF"/>
    </w:rPr>
  </w:style>
  <w:style w:type="paragraph" w:styleId="a9">
    <w:name w:val="List Paragraph"/>
    <w:basedOn w:val="a"/>
    <w:uiPriority w:val="34"/>
    <w:qFormat/>
    <w:rsid w:val="00FA5B6B"/>
    <w:pPr>
      <w:widowControl w:val="0"/>
      <w:spacing w:after="0" w:line="240" w:lineRule="auto"/>
      <w:ind w:left="720"/>
      <w:contextualSpacing/>
    </w:pPr>
    <w:rPr>
      <w:kern w:val="2"/>
      <w:sz w:val="21"/>
      <w:szCs w:val="24"/>
      <w:lang w:eastAsia="ja-JP"/>
      <w14:ligatures w14:val="standardContextual"/>
    </w:rPr>
  </w:style>
  <w:style w:type="character" w:styleId="21">
    <w:name w:val="Intense Emphasis"/>
    <w:basedOn w:val="a0"/>
    <w:uiPriority w:val="21"/>
    <w:qFormat/>
    <w:rsid w:val="00FA5B6B"/>
    <w:rPr>
      <w:i/>
      <w:iCs/>
      <w:color w:val="0F4761" w:themeColor="accent1" w:themeShade="BF"/>
    </w:rPr>
  </w:style>
  <w:style w:type="paragraph" w:styleId="22">
    <w:name w:val="Intense Quote"/>
    <w:basedOn w:val="a"/>
    <w:next w:val="a"/>
    <w:link w:val="23"/>
    <w:uiPriority w:val="30"/>
    <w:qFormat/>
    <w:rsid w:val="00FA5B6B"/>
    <w:pPr>
      <w:widowControl w:val="0"/>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1"/>
      <w:szCs w:val="24"/>
      <w:lang w:eastAsia="ja-JP"/>
      <w14:ligatures w14:val="standardContextual"/>
    </w:rPr>
  </w:style>
  <w:style w:type="character" w:customStyle="1" w:styleId="23">
    <w:name w:val="引用文 2 (文字)"/>
    <w:basedOn w:val="a0"/>
    <w:link w:val="22"/>
    <w:uiPriority w:val="30"/>
    <w:rsid w:val="00FA5B6B"/>
    <w:rPr>
      <w:i/>
      <w:iCs/>
      <w:color w:val="0F4761" w:themeColor="accent1" w:themeShade="BF"/>
    </w:rPr>
  </w:style>
  <w:style w:type="character" w:styleId="24">
    <w:name w:val="Intense Reference"/>
    <w:basedOn w:val="a0"/>
    <w:uiPriority w:val="32"/>
    <w:qFormat/>
    <w:rsid w:val="00FA5B6B"/>
    <w:rPr>
      <w:b/>
      <w:bCs/>
      <w:smallCaps/>
      <w:color w:val="0F4761" w:themeColor="accent1" w:themeShade="BF"/>
      <w:spacing w:val="5"/>
    </w:rPr>
  </w:style>
  <w:style w:type="character" w:styleId="aa">
    <w:name w:val="annotation reference"/>
    <w:basedOn w:val="a0"/>
    <w:uiPriority w:val="99"/>
    <w:semiHidden/>
    <w:unhideWhenUsed/>
    <w:rsid w:val="00771222"/>
    <w:rPr>
      <w:sz w:val="18"/>
      <w:szCs w:val="18"/>
    </w:rPr>
  </w:style>
  <w:style w:type="paragraph" w:styleId="ab">
    <w:name w:val="annotation text"/>
    <w:basedOn w:val="a"/>
    <w:link w:val="ac"/>
    <w:uiPriority w:val="99"/>
    <w:unhideWhenUsed/>
    <w:rsid w:val="00771222"/>
  </w:style>
  <w:style w:type="character" w:customStyle="1" w:styleId="ac">
    <w:name w:val="コメント文字列 (文字)"/>
    <w:basedOn w:val="a0"/>
    <w:link w:val="ab"/>
    <w:uiPriority w:val="99"/>
    <w:rsid w:val="00771222"/>
    <w:rPr>
      <w:kern w:val="0"/>
      <w:sz w:val="22"/>
      <w:szCs w:val="22"/>
      <w:lang w:eastAsia="en-US"/>
      <w14:ligatures w14:val="none"/>
    </w:rPr>
  </w:style>
  <w:style w:type="paragraph" w:styleId="ad">
    <w:name w:val="annotation subject"/>
    <w:basedOn w:val="ab"/>
    <w:next w:val="ab"/>
    <w:link w:val="ae"/>
    <w:uiPriority w:val="99"/>
    <w:semiHidden/>
    <w:unhideWhenUsed/>
    <w:rsid w:val="00771222"/>
    <w:rPr>
      <w:b/>
      <w:bCs/>
    </w:rPr>
  </w:style>
  <w:style w:type="character" w:customStyle="1" w:styleId="ae">
    <w:name w:val="コメント内容 (文字)"/>
    <w:basedOn w:val="ac"/>
    <w:link w:val="ad"/>
    <w:uiPriority w:val="99"/>
    <w:semiHidden/>
    <w:rsid w:val="00771222"/>
    <w:rPr>
      <w:b/>
      <w:bCs/>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H</dc:creator>
  <cp:keywords/>
  <dc:description/>
  <cp:lastModifiedBy>T H</cp:lastModifiedBy>
  <cp:revision>8</cp:revision>
  <dcterms:created xsi:type="dcterms:W3CDTF">2026-02-19T09:19:00Z</dcterms:created>
  <dcterms:modified xsi:type="dcterms:W3CDTF">2026-02-26T15:46:00Z</dcterms:modified>
</cp:coreProperties>
</file>