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Look w:val="04A0" w:firstRow="1" w:lastRow="0" w:firstColumn="1" w:lastColumn="0" w:noHBand="0" w:noVBand="1"/>
      </w:tblPr>
      <w:tblGrid>
        <w:gridCol w:w="3803"/>
        <w:gridCol w:w="1282"/>
        <w:gridCol w:w="1153"/>
        <w:gridCol w:w="1064"/>
        <w:gridCol w:w="1192"/>
      </w:tblGrid>
      <w:tr w:rsidR="008B1B02" w:rsidRPr="000E68E2" w14:paraId="4EE55257" w14:textId="77777777" w:rsidTr="000A7CD3">
        <w:trPr>
          <w:trHeight w:val="841"/>
        </w:trPr>
        <w:tc>
          <w:tcPr>
            <w:tcW w:w="8494" w:type="dxa"/>
            <w:gridSpan w:val="5"/>
            <w:hideMark/>
          </w:tcPr>
          <w:p w14:paraId="75F83A66" w14:textId="2DBC0FE3" w:rsidR="008B1B02" w:rsidRPr="000E68E2" w:rsidRDefault="00534831" w:rsidP="008B1B02">
            <w:pPr>
              <w:rPr>
                <w:rFonts w:ascii="Times New Roman" w:hAnsi="Times New Roman" w:cs="Times New Roman"/>
                <w:sz w:val="16"/>
                <w:szCs w:val="16"/>
              </w:rPr>
            </w:pPr>
            <w:r w:rsidRPr="000E68E2">
              <w:rPr>
                <w:rFonts w:ascii="Times New Roman" w:hAnsi="Times New Roman" w:cs="Times New Roman"/>
                <w:sz w:val="16"/>
                <w:szCs w:val="16"/>
              </w:rPr>
              <w:t>Supplementa</w:t>
            </w:r>
            <w:r w:rsidR="00151451" w:rsidRPr="000E68E2">
              <w:rPr>
                <w:rFonts w:ascii="Times New Roman" w:hAnsi="Times New Roman" w:cs="Times New Roman" w:hint="eastAsia"/>
                <w:sz w:val="16"/>
                <w:szCs w:val="16"/>
              </w:rPr>
              <w:t>ry</w:t>
            </w:r>
            <w:r w:rsidRPr="000E68E2">
              <w:rPr>
                <w:rFonts w:ascii="Times New Roman" w:hAnsi="Times New Roman" w:cs="Times New Roman"/>
                <w:sz w:val="16"/>
                <w:szCs w:val="16"/>
              </w:rPr>
              <w:t xml:space="preserve"> Table </w:t>
            </w:r>
            <w:r w:rsidR="00315FD4" w:rsidRPr="000E68E2">
              <w:rPr>
                <w:rFonts w:ascii="Times New Roman" w:hAnsi="Times New Roman" w:cs="Times New Roman" w:hint="eastAsia"/>
                <w:sz w:val="16"/>
                <w:szCs w:val="16"/>
              </w:rPr>
              <w:t>2</w:t>
            </w:r>
            <w:r w:rsidRPr="000E68E2">
              <w:rPr>
                <w:rFonts w:ascii="Times New Roman" w:hAnsi="Times New Roman" w:cs="Times New Roman" w:hint="eastAsia"/>
                <w:sz w:val="16"/>
                <w:szCs w:val="16"/>
              </w:rPr>
              <w:t>.</w:t>
            </w:r>
            <w:r w:rsidR="008B1B02" w:rsidRPr="000E68E2">
              <w:rPr>
                <w:rFonts w:ascii="Times New Roman" w:hAnsi="Times New Roman" w:cs="Times New Roman"/>
                <w:sz w:val="16"/>
                <w:szCs w:val="16"/>
              </w:rPr>
              <w:t xml:space="preserve"> </w:t>
            </w:r>
            <w:r w:rsidR="005860A2" w:rsidRPr="000E68E2">
              <w:rPr>
                <w:rFonts w:ascii="Times New Roman" w:hAnsi="Times New Roman" w:cs="Times New Roman" w:hint="eastAsia"/>
                <w:sz w:val="16"/>
                <w:szCs w:val="16"/>
              </w:rPr>
              <w:t>Transition of</w:t>
            </w:r>
            <w:r w:rsidR="008B1B02" w:rsidRPr="000E68E2">
              <w:rPr>
                <w:rFonts w:ascii="Times New Roman" w:hAnsi="Times New Roman" w:cs="Times New Roman"/>
                <w:sz w:val="16"/>
                <w:szCs w:val="16"/>
              </w:rPr>
              <w:t xml:space="preserve"> total </w:t>
            </w:r>
            <w:r w:rsidR="0047214F" w:rsidRPr="000E68E2">
              <w:rPr>
                <w:rFonts w:ascii="Times New Roman" w:hAnsi="Times New Roman" w:cs="Times New Roman" w:hint="eastAsia"/>
                <w:sz w:val="16"/>
                <w:szCs w:val="16"/>
              </w:rPr>
              <w:t>P</w:t>
            </w:r>
            <w:r w:rsidR="008B1B02" w:rsidRPr="000E68E2">
              <w:rPr>
                <w:rFonts w:ascii="Times New Roman" w:hAnsi="Times New Roman" w:cs="Times New Roman"/>
                <w:sz w:val="16"/>
                <w:szCs w:val="16"/>
              </w:rPr>
              <w:t xml:space="preserve">soriasis </w:t>
            </w:r>
            <w:r w:rsidR="0047214F" w:rsidRPr="000E68E2">
              <w:rPr>
                <w:rFonts w:ascii="Times New Roman" w:hAnsi="Times New Roman" w:cs="Times New Roman" w:hint="eastAsia"/>
                <w:sz w:val="16"/>
                <w:szCs w:val="16"/>
              </w:rPr>
              <w:t>A</w:t>
            </w:r>
            <w:r w:rsidR="008B1B02" w:rsidRPr="000E68E2">
              <w:rPr>
                <w:rFonts w:ascii="Times New Roman" w:hAnsi="Times New Roman" w:cs="Times New Roman"/>
                <w:sz w:val="16"/>
                <w:szCs w:val="16"/>
              </w:rPr>
              <w:t xml:space="preserve">rea and </w:t>
            </w:r>
            <w:r w:rsidR="0047214F" w:rsidRPr="000E68E2">
              <w:rPr>
                <w:rFonts w:ascii="Times New Roman" w:hAnsi="Times New Roman" w:cs="Times New Roman" w:hint="eastAsia"/>
                <w:sz w:val="16"/>
                <w:szCs w:val="16"/>
              </w:rPr>
              <w:t>S</w:t>
            </w:r>
            <w:r w:rsidR="008B1B02" w:rsidRPr="000E68E2">
              <w:rPr>
                <w:rFonts w:ascii="Times New Roman" w:hAnsi="Times New Roman" w:cs="Times New Roman"/>
                <w:sz w:val="16"/>
                <w:szCs w:val="16"/>
              </w:rPr>
              <w:t xml:space="preserve">everity </w:t>
            </w:r>
            <w:r w:rsidR="0047214F" w:rsidRPr="000E68E2">
              <w:rPr>
                <w:rFonts w:ascii="Times New Roman" w:hAnsi="Times New Roman" w:cs="Times New Roman" w:hint="eastAsia"/>
                <w:sz w:val="16"/>
                <w:szCs w:val="16"/>
              </w:rPr>
              <w:t>I</w:t>
            </w:r>
            <w:r w:rsidR="008B1B02" w:rsidRPr="000E68E2">
              <w:rPr>
                <w:rFonts w:ascii="Times New Roman" w:hAnsi="Times New Roman" w:cs="Times New Roman"/>
                <w:sz w:val="16"/>
                <w:szCs w:val="16"/>
              </w:rPr>
              <w:t xml:space="preserve">ndex (PASI), PASI on four anatomical sites, and </w:t>
            </w:r>
            <w:r w:rsidR="0047214F" w:rsidRPr="000E68E2">
              <w:rPr>
                <w:rFonts w:ascii="Times New Roman" w:hAnsi="Times New Roman" w:cs="Times New Roman" w:hint="eastAsia"/>
                <w:sz w:val="16"/>
                <w:szCs w:val="16"/>
              </w:rPr>
              <w:t>D</w:t>
            </w:r>
            <w:r w:rsidR="008B1B02" w:rsidRPr="000E68E2">
              <w:rPr>
                <w:rFonts w:ascii="Times New Roman" w:hAnsi="Times New Roman" w:cs="Times New Roman"/>
                <w:sz w:val="16"/>
                <w:szCs w:val="16"/>
              </w:rPr>
              <w:t xml:space="preserve">ermatology </w:t>
            </w:r>
            <w:r w:rsidR="0047214F" w:rsidRPr="000E68E2">
              <w:rPr>
                <w:rFonts w:ascii="Times New Roman" w:hAnsi="Times New Roman" w:cs="Times New Roman" w:hint="eastAsia"/>
                <w:sz w:val="16"/>
                <w:szCs w:val="16"/>
              </w:rPr>
              <w:t>L</w:t>
            </w:r>
            <w:r w:rsidR="008B1B02" w:rsidRPr="000E68E2">
              <w:rPr>
                <w:rFonts w:ascii="Times New Roman" w:hAnsi="Times New Roman" w:cs="Times New Roman"/>
                <w:sz w:val="16"/>
                <w:szCs w:val="16"/>
              </w:rPr>
              <w:t xml:space="preserve">ife </w:t>
            </w:r>
            <w:r w:rsidR="0047214F" w:rsidRPr="000E68E2">
              <w:rPr>
                <w:rFonts w:ascii="Times New Roman" w:hAnsi="Times New Roman" w:cs="Times New Roman" w:hint="eastAsia"/>
                <w:sz w:val="16"/>
                <w:szCs w:val="16"/>
              </w:rPr>
              <w:t>Q</w:t>
            </w:r>
            <w:r w:rsidR="008B1B02" w:rsidRPr="000E68E2">
              <w:rPr>
                <w:rFonts w:ascii="Times New Roman" w:hAnsi="Times New Roman" w:cs="Times New Roman"/>
                <w:sz w:val="16"/>
                <w:szCs w:val="16"/>
              </w:rPr>
              <w:t xml:space="preserve">uality </w:t>
            </w:r>
            <w:r w:rsidR="0047214F" w:rsidRPr="000E68E2">
              <w:rPr>
                <w:rFonts w:ascii="Times New Roman" w:hAnsi="Times New Roman" w:cs="Times New Roman" w:hint="eastAsia"/>
                <w:sz w:val="16"/>
                <w:szCs w:val="16"/>
              </w:rPr>
              <w:t>I</w:t>
            </w:r>
            <w:r w:rsidR="008B1B02" w:rsidRPr="000E68E2">
              <w:rPr>
                <w:rFonts w:ascii="Times New Roman" w:hAnsi="Times New Roman" w:cs="Times New Roman"/>
                <w:sz w:val="16"/>
                <w:szCs w:val="16"/>
              </w:rPr>
              <w:t xml:space="preserve">ndex (DLQI) scores in 132 patients with psoriasis during treatment with </w:t>
            </w:r>
            <w:proofErr w:type="spellStart"/>
            <w:r w:rsidR="008B1B02" w:rsidRPr="000E68E2">
              <w:rPr>
                <w:rFonts w:ascii="Times New Roman" w:hAnsi="Times New Roman" w:cs="Times New Roman"/>
                <w:sz w:val="16"/>
                <w:szCs w:val="16"/>
              </w:rPr>
              <w:t>deucravacitinib</w:t>
            </w:r>
            <w:proofErr w:type="spellEnd"/>
            <w:r w:rsidR="008B1B02" w:rsidRPr="000E68E2">
              <w:rPr>
                <w:rFonts w:ascii="Times New Roman" w:hAnsi="Times New Roman" w:cs="Times New Roman"/>
                <w:sz w:val="16"/>
                <w:szCs w:val="16"/>
              </w:rPr>
              <w:t xml:space="preserve"> 6 mg </w:t>
            </w:r>
          </w:p>
        </w:tc>
      </w:tr>
      <w:tr w:rsidR="008B1B02" w:rsidRPr="000E68E2" w14:paraId="05033F64" w14:textId="77777777" w:rsidTr="000A7CD3">
        <w:trPr>
          <w:trHeight w:val="370"/>
        </w:trPr>
        <w:tc>
          <w:tcPr>
            <w:tcW w:w="3803" w:type="dxa"/>
            <w:noWrap/>
            <w:hideMark/>
          </w:tcPr>
          <w:p w14:paraId="4E94B40A"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　</w:t>
            </w:r>
          </w:p>
        </w:tc>
        <w:tc>
          <w:tcPr>
            <w:tcW w:w="1282" w:type="dxa"/>
            <w:noWrap/>
            <w:hideMark/>
          </w:tcPr>
          <w:p w14:paraId="39CBB4B5"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Week 0 </w:t>
            </w:r>
          </w:p>
        </w:tc>
        <w:tc>
          <w:tcPr>
            <w:tcW w:w="1153" w:type="dxa"/>
            <w:noWrap/>
            <w:hideMark/>
          </w:tcPr>
          <w:p w14:paraId="56E04BC2"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Week 16</w:t>
            </w:r>
          </w:p>
        </w:tc>
        <w:tc>
          <w:tcPr>
            <w:tcW w:w="1064" w:type="dxa"/>
            <w:noWrap/>
            <w:hideMark/>
          </w:tcPr>
          <w:p w14:paraId="75C740AB"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Week 52 </w:t>
            </w:r>
          </w:p>
        </w:tc>
        <w:tc>
          <w:tcPr>
            <w:tcW w:w="1192" w:type="dxa"/>
            <w:noWrap/>
            <w:hideMark/>
          </w:tcPr>
          <w:p w14:paraId="7808CF3D"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Week 104</w:t>
            </w:r>
          </w:p>
        </w:tc>
      </w:tr>
      <w:tr w:rsidR="008B1B02" w:rsidRPr="000E68E2" w14:paraId="4DE931CF" w14:textId="77777777" w:rsidTr="000A7CD3">
        <w:trPr>
          <w:trHeight w:val="370"/>
        </w:trPr>
        <w:tc>
          <w:tcPr>
            <w:tcW w:w="3803" w:type="dxa"/>
            <w:noWrap/>
            <w:hideMark/>
          </w:tcPr>
          <w:p w14:paraId="68A385EA" w14:textId="6974DC2E"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Total PASI</w:t>
            </w:r>
          </w:p>
        </w:tc>
        <w:tc>
          <w:tcPr>
            <w:tcW w:w="1282" w:type="dxa"/>
            <w:noWrap/>
            <w:hideMark/>
          </w:tcPr>
          <w:p w14:paraId="645550C0"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14.6 ± 11.6 </w:t>
            </w:r>
          </w:p>
        </w:tc>
        <w:tc>
          <w:tcPr>
            <w:tcW w:w="1153" w:type="dxa"/>
            <w:noWrap/>
            <w:hideMark/>
          </w:tcPr>
          <w:p w14:paraId="3807C16C"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3.7 ± 5.5 </w:t>
            </w:r>
          </w:p>
        </w:tc>
        <w:tc>
          <w:tcPr>
            <w:tcW w:w="1064" w:type="dxa"/>
            <w:noWrap/>
            <w:hideMark/>
          </w:tcPr>
          <w:p w14:paraId="1C9426C0"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1.8 ± 3.1 </w:t>
            </w:r>
          </w:p>
        </w:tc>
        <w:tc>
          <w:tcPr>
            <w:tcW w:w="1192" w:type="dxa"/>
            <w:noWrap/>
            <w:hideMark/>
          </w:tcPr>
          <w:p w14:paraId="7A9F5768"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1.2 ± 1.1</w:t>
            </w:r>
          </w:p>
        </w:tc>
      </w:tr>
      <w:tr w:rsidR="008B1B02" w:rsidRPr="000E68E2" w14:paraId="5D02585E" w14:textId="77777777" w:rsidTr="000A7CD3">
        <w:trPr>
          <w:trHeight w:val="370"/>
        </w:trPr>
        <w:tc>
          <w:tcPr>
            <w:tcW w:w="3803" w:type="dxa"/>
            <w:noWrap/>
            <w:hideMark/>
          </w:tcPr>
          <w:p w14:paraId="0628A3F3" w14:textId="432FC7C6"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PASI on head and neck</w:t>
            </w:r>
          </w:p>
        </w:tc>
        <w:tc>
          <w:tcPr>
            <w:tcW w:w="1282" w:type="dxa"/>
            <w:noWrap/>
            <w:hideMark/>
          </w:tcPr>
          <w:p w14:paraId="60265B45"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1.4 ± 1.3 </w:t>
            </w:r>
          </w:p>
        </w:tc>
        <w:tc>
          <w:tcPr>
            <w:tcW w:w="1153" w:type="dxa"/>
            <w:noWrap/>
            <w:hideMark/>
          </w:tcPr>
          <w:p w14:paraId="3A885689"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0.3 ± 0.4 </w:t>
            </w:r>
          </w:p>
        </w:tc>
        <w:tc>
          <w:tcPr>
            <w:tcW w:w="1064" w:type="dxa"/>
            <w:noWrap/>
            <w:hideMark/>
          </w:tcPr>
          <w:p w14:paraId="1B6C91E6"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0.1 ± 0.3 </w:t>
            </w:r>
          </w:p>
        </w:tc>
        <w:tc>
          <w:tcPr>
            <w:tcW w:w="1192" w:type="dxa"/>
            <w:noWrap/>
            <w:hideMark/>
          </w:tcPr>
          <w:p w14:paraId="2F25ED03"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0.1 ± 0.3</w:t>
            </w:r>
          </w:p>
        </w:tc>
      </w:tr>
      <w:tr w:rsidR="008B1B02" w:rsidRPr="000E68E2" w14:paraId="4ADA8088" w14:textId="77777777" w:rsidTr="000A7CD3">
        <w:trPr>
          <w:trHeight w:val="370"/>
        </w:trPr>
        <w:tc>
          <w:tcPr>
            <w:tcW w:w="3803" w:type="dxa"/>
            <w:noWrap/>
            <w:hideMark/>
          </w:tcPr>
          <w:p w14:paraId="3E04E48B" w14:textId="1B0FC276"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PASI on trunk</w:t>
            </w:r>
          </w:p>
        </w:tc>
        <w:tc>
          <w:tcPr>
            <w:tcW w:w="1282" w:type="dxa"/>
            <w:noWrap/>
            <w:hideMark/>
          </w:tcPr>
          <w:p w14:paraId="5CC06C88"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4.4 ± 3.8 </w:t>
            </w:r>
          </w:p>
        </w:tc>
        <w:tc>
          <w:tcPr>
            <w:tcW w:w="1153" w:type="dxa"/>
            <w:noWrap/>
            <w:hideMark/>
          </w:tcPr>
          <w:p w14:paraId="5D10748C"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0.9 ± 1.6 </w:t>
            </w:r>
          </w:p>
        </w:tc>
        <w:tc>
          <w:tcPr>
            <w:tcW w:w="1064" w:type="dxa"/>
            <w:noWrap/>
            <w:hideMark/>
          </w:tcPr>
          <w:p w14:paraId="5B540237"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0.3 ± 0.7 </w:t>
            </w:r>
          </w:p>
        </w:tc>
        <w:tc>
          <w:tcPr>
            <w:tcW w:w="1192" w:type="dxa"/>
            <w:noWrap/>
            <w:hideMark/>
          </w:tcPr>
          <w:p w14:paraId="40E5CC46"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0.2 ± 0.5</w:t>
            </w:r>
          </w:p>
        </w:tc>
      </w:tr>
      <w:tr w:rsidR="008B1B02" w:rsidRPr="000E68E2" w14:paraId="5F4B7F15" w14:textId="77777777" w:rsidTr="000A7CD3">
        <w:trPr>
          <w:trHeight w:val="370"/>
        </w:trPr>
        <w:tc>
          <w:tcPr>
            <w:tcW w:w="3803" w:type="dxa"/>
            <w:noWrap/>
            <w:hideMark/>
          </w:tcPr>
          <w:p w14:paraId="3B81B8D9" w14:textId="46A3DFF0"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PASI on upper limbs</w:t>
            </w:r>
          </w:p>
        </w:tc>
        <w:tc>
          <w:tcPr>
            <w:tcW w:w="1282" w:type="dxa"/>
            <w:noWrap/>
            <w:hideMark/>
          </w:tcPr>
          <w:p w14:paraId="7A9D35B2"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2.7 ± 3.0 </w:t>
            </w:r>
          </w:p>
        </w:tc>
        <w:tc>
          <w:tcPr>
            <w:tcW w:w="1153" w:type="dxa"/>
            <w:noWrap/>
            <w:hideMark/>
          </w:tcPr>
          <w:p w14:paraId="7C21D7D6"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0.6 ± 1.0 </w:t>
            </w:r>
          </w:p>
        </w:tc>
        <w:tc>
          <w:tcPr>
            <w:tcW w:w="1064" w:type="dxa"/>
            <w:noWrap/>
            <w:hideMark/>
          </w:tcPr>
          <w:p w14:paraId="3962156B"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0.3 ± 0.7 </w:t>
            </w:r>
          </w:p>
        </w:tc>
        <w:tc>
          <w:tcPr>
            <w:tcW w:w="1192" w:type="dxa"/>
            <w:noWrap/>
            <w:hideMark/>
          </w:tcPr>
          <w:p w14:paraId="02DC7A46"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0.1 ± 0.2</w:t>
            </w:r>
          </w:p>
        </w:tc>
      </w:tr>
      <w:tr w:rsidR="008B1B02" w:rsidRPr="000E68E2" w14:paraId="28239F83" w14:textId="77777777" w:rsidTr="000A7CD3">
        <w:trPr>
          <w:trHeight w:val="370"/>
        </w:trPr>
        <w:tc>
          <w:tcPr>
            <w:tcW w:w="3803" w:type="dxa"/>
            <w:noWrap/>
            <w:hideMark/>
          </w:tcPr>
          <w:p w14:paraId="6E57368C" w14:textId="17D2E770"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PASI on lower limbs</w:t>
            </w:r>
          </w:p>
        </w:tc>
        <w:tc>
          <w:tcPr>
            <w:tcW w:w="1282" w:type="dxa"/>
            <w:noWrap/>
            <w:hideMark/>
          </w:tcPr>
          <w:p w14:paraId="22D49B9D"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6.0 ± 5.4</w:t>
            </w:r>
          </w:p>
        </w:tc>
        <w:tc>
          <w:tcPr>
            <w:tcW w:w="1153" w:type="dxa"/>
            <w:noWrap/>
            <w:hideMark/>
          </w:tcPr>
          <w:p w14:paraId="51628829" w14:textId="77777777" w:rsidR="008B1B02" w:rsidRPr="000E68E2" w:rsidRDefault="008B1B02" w:rsidP="000A7CD3">
            <w:pPr>
              <w:ind w:leftChars="-44" w:left="-92"/>
              <w:rPr>
                <w:rFonts w:ascii="Times New Roman" w:hAnsi="Times New Roman" w:cs="Times New Roman"/>
                <w:sz w:val="16"/>
                <w:szCs w:val="16"/>
              </w:rPr>
            </w:pPr>
            <w:r w:rsidRPr="000E68E2">
              <w:rPr>
                <w:rFonts w:ascii="Times New Roman" w:hAnsi="Times New Roman" w:cs="Times New Roman"/>
                <w:sz w:val="16"/>
                <w:szCs w:val="16"/>
              </w:rPr>
              <w:t xml:space="preserve"> 1.6 ± 2.6 </w:t>
            </w:r>
          </w:p>
        </w:tc>
        <w:tc>
          <w:tcPr>
            <w:tcW w:w="1064" w:type="dxa"/>
            <w:noWrap/>
            <w:hideMark/>
          </w:tcPr>
          <w:p w14:paraId="4C0E7A97"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0.7 ± 1.3 </w:t>
            </w:r>
          </w:p>
        </w:tc>
        <w:tc>
          <w:tcPr>
            <w:tcW w:w="1192" w:type="dxa"/>
            <w:noWrap/>
            <w:hideMark/>
          </w:tcPr>
          <w:p w14:paraId="6281C9B2"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0.7 ± 0.7</w:t>
            </w:r>
          </w:p>
        </w:tc>
      </w:tr>
      <w:tr w:rsidR="008B1B02" w:rsidRPr="000E68E2" w14:paraId="1D4DE116" w14:textId="77777777" w:rsidTr="000A7CD3">
        <w:trPr>
          <w:trHeight w:val="370"/>
        </w:trPr>
        <w:tc>
          <w:tcPr>
            <w:tcW w:w="3803" w:type="dxa"/>
            <w:noWrap/>
            <w:hideMark/>
          </w:tcPr>
          <w:p w14:paraId="79AB2300" w14:textId="110560B9"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DLQI</w:t>
            </w:r>
          </w:p>
        </w:tc>
        <w:tc>
          <w:tcPr>
            <w:tcW w:w="1282" w:type="dxa"/>
            <w:noWrap/>
            <w:hideMark/>
          </w:tcPr>
          <w:p w14:paraId="356AC2F8"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9.1 ± 5.6 </w:t>
            </w:r>
          </w:p>
        </w:tc>
        <w:tc>
          <w:tcPr>
            <w:tcW w:w="1153" w:type="dxa"/>
            <w:noWrap/>
            <w:hideMark/>
          </w:tcPr>
          <w:p w14:paraId="5BC66342"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3.1 ± 2.8 </w:t>
            </w:r>
          </w:p>
        </w:tc>
        <w:tc>
          <w:tcPr>
            <w:tcW w:w="1064" w:type="dxa"/>
            <w:noWrap/>
            <w:hideMark/>
          </w:tcPr>
          <w:p w14:paraId="64DAB989"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 xml:space="preserve">1.5 ± 1.5 </w:t>
            </w:r>
          </w:p>
        </w:tc>
        <w:tc>
          <w:tcPr>
            <w:tcW w:w="1192" w:type="dxa"/>
            <w:noWrap/>
            <w:hideMark/>
          </w:tcPr>
          <w:p w14:paraId="360C9F73" w14:textId="77777777" w:rsidR="008B1B02" w:rsidRPr="000E68E2" w:rsidRDefault="008B1B02">
            <w:pPr>
              <w:rPr>
                <w:rFonts w:ascii="Times New Roman" w:hAnsi="Times New Roman" w:cs="Times New Roman"/>
                <w:sz w:val="16"/>
                <w:szCs w:val="16"/>
              </w:rPr>
            </w:pPr>
            <w:r w:rsidRPr="000E68E2">
              <w:rPr>
                <w:rFonts w:ascii="Times New Roman" w:hAnsi="Times New Roman" w:cs="Times New Roman"/>
                <w:sz w:val="16"/>
                <w:szCs w:val="16"/>
              </w:rPr>
              <w:t>1.8 ± 1.7</w:t>
            </w:r>
          </w:p>
        </w:tc>
      </w:tr>
      <w:tr w:rsidR="00BF735E" w:rsidRPr="008B1B02" w14:paraId="5ECB9BFA" w14:textId="77777777" w:rsidTr="00D12086">
        <w:trPr>
          <w:trHeight w:val="370"/>
        </w:trPr>
        <w:tc>
          <w:tcPr>
            <w:tcW w:w="8494" w:type="dxa"/>
            <w:gridSpan w:val="5"/>
            <w:noWrap/>
          </w:tcPr>
          <w:p w14:paraId="7178B102" w14:textId="77777777" w:rsidR="00BF735E" w:rsidRPr="000E68E2" w:rsidRDefault="00C42F23">
            <w:pPr>
              <w:rPr>
                <w:rFonts w:ascii="Times New Roman" w:hAnsi="Times New Roman" w:cs="Times New Roman"/>
                <w:sz w:val="16"/>
                <w:szCs w:val="16"/>
              </w:rPr>
            </w:pPr>
            <w:r w:rsidRPr="000E68E2">
              <w:rPr>
                <w:rFonts w:ascii="Times New Roman" w:hAnsi="Times New Roman" w:cs="Times New Roman" w:hint="eastAsia"/>
                <w:sz w:val="16"/>
                <w:szCs w:val="16"/>
              </w:rPr>
              <w:t>Data are presented as mean</w:t>
            </w:r>
            <w:r w:rsidRPr="000E68E2">
              <w:rPr>
                <w:rFonts w:ascii="Times New Roman" w:hAnsi="Times New Roman" w:cs="Times New Roman"/>
                <w:sz w:val="16"/>
                <w:szCs w:val="16"/>
              </w:rPr>
              <w:t xml:space="preserve"> ±</w:t>
            </w:r>
            <w:r w:rsidRPr="000E68E2">
              <w:rPr>
                <w:rFonts w:ascii="Times New Roman" w:hAnsi="Times New Roman" w:cs="Times New Roman" w:hint="eastAsia"/>
                <w:sz w:val="16"/>
                <w:szCs w:val="16"/>
              </w:rPr>
              <w:t xml:space="preserve"> </w:t>
            </w:r>
            <w:r w:rsidR="00BF735E" w:rsidRPr="000E68E2">
              <w:rPr>
                <w:rFonts w:ascii="Times New Roman" w:hAnsi="Times New Roman" w:cs="Times New Roman"/>
                <w:sz w:val="16"/>
                <w:szCs w:val="16"/>
              </w:rPr>
              <w:t>standard deviation.</w:t>
            </w:r>
          </w:p>
          <w:p w14:paraId="1B607740" w14:textId="1F896448" w:rsidR="00C018DC" w:rsidRPr="008B1B02" w:rsidRDefault="00C018DC">
            <w:pPr>
              <w:rPr>
                <w:rFonts w:ascii="Times New Roman" w:hAnsi="Times New Roman" w:cs="Times New Roman"/>
                <w:sz w:val="16"/>
                <w:szCs w:val="16"/>
              </w:rPr>
            </w:pPr>
            <w:r w:rsidRPr="000E68E2">
              <w:rPr>
                <w:rFonts w:ascii="Times New Roman" w:hAnsi="Times New Roman" w:cs="Times New Roman"/>
                <w:sz w:val="16"/>
                <w:szCs w:val="16"/>
              </w:rPr>
              <w:t xml:space="preserve">During </w:t>
            </w:r>
            <w:proofErr w:type="spellStart"/>
            <w:r w:rsidRPr="000E68E2">
              <w:rPr>
                <w:rFonts w:ascii="Times New Roman" w:hAnsi="Times New Roman" w:cs="Times New Roman"/>
                <w:sz w:val="16"/>
                <w:szCs w:val="16"/>
              </w:rPr>
              <w:t>deucravacitinib</w:t>
            </w:r>
            <w:proofErr w:type="spellEnd"/>
            <w:r w:rsidRPr="000E68E2">
              <w:rPr>
                <w:rFonts w:ascii="Times New Roman" w:hAnsi="Times New Roman" w:cs="Times New Roman"/>
                <w:sz w:val="16"/>
                <w:szCs w:val="16"/>
              </w:rPr>
              <w:t xml:space="preserve"> treatment, the mean PASI score rapidly decreased at week 16, then gradually decreased through week 52, thereafter plateaued. Similarly, the mean PASI scores on head and neck, trunk, upper limbs, and lower limbs rapidly decreased at week 16, then gradually continued to decrease through week 104. In addition, the DLQI score rapidly decreased at week 16, then gradually decreased through week 52, thereafter plateaued.</w:t>
            </w:r>
          </w:p>
        </w:tc>
      </w:tr>
    </w:tbl>
    <w:p w14:paraId="1429DF59" w14:textId="77777777" w:rsidR="008B1B02" w:rsidRPr="008B1B02" w:rsidRDefault="008B1B02">
      <w:pPr>
        <w:rPr>
          <w:rFonts w:ascii="Times New Roman" w:hAnsi="Times New Roman" w:cs="Times New Roman"/>
          <w:sz w:val="16"/>
          <w:szCs w:val="16"/>
        </w:rPr>
      </w:pPr>
    </w:p>
    <w:sectPr w:rsidR="008B1B02" w:rsidRPr="008B1B0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E7B2" w14:textId="77777777" w:rsidR="00D64D49" w:rsidRDefault="00D64D49" w:rsidP="00534831">
      <w:r>
        <w:separator/>
      </w:r>
    </w:p>
  </w:endnote>
  <w:endnote w:type="continuationSeparator" w:id="0">
    <w:p w14:paraId="261CAABE" w14:textId="77777777" w:rsidR="00D64D49" w:rsidRDefault="00D64D49" w:rsidP="00534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F181C" w14:textId="77777777" w:rsidR="00D64D49" w:rsidRDefault="00D64D49" w:rsidP="00534831">
      <w:r>
        <w:separator/>
      </w:r>
    </w:p>
  </w:footnote>
  <w:footnote w:type="continuationSeparator" w:id="0">
    <w:p w14:paraId="2E5EA454" w14:textId="77777777" w:rsidR="00D64D49" w:rsidRDefault="00D64D49" w:rsidP="005348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B02"/>
    <w:rsid w:val="000A7CD3"/>
    <w:rsid w:val="000E68E2"/>
    <w:rsid w:val="00117B22"/>
    <w:rsid w:val="00151451"/>
    <w:rsid w:val="002C1EA4"/>
    <w:rsid w:val="00315FD4"/>
    <w:rsid w:val="003673B9"/>
    <w:rsid w:val="00392D36"/>
    <w:rsid w:val="0047214F"/>
    <w:rsid w:val="00534831"/>
    <w:rsid w:val="00565001"/>
    <w:rsid w:val="005860A2"/>
    <w:rsid w:val="00733EC0"/>
    <w:rsid w:val="0074705A"/>
    <w:rsid w:val="0089201F"/>
    <w:rsid w:val="008A7A08"/>
    <w:rsid w:val="008B1B02"/>
    <w:rsid w:val="009D01D7"/>
    <w:rsid w:val="00BF735E"/>
    <w:rsid w:val="00C018DC"/>
    <w:rsid w:val="00C15F2E"/>
    <w:rsid w:val="00C42F23"/>
    <w:rsid w:val="00CB3746"/>
    <w:rsid w:val="00D06AA0"/>
    <w:rsid w:val="00D64D49"/>
    <w:rsid w:val="00DA4B17"/>
    <w:rsid w:val="00DA7DF9"/>
    <w:rsid w:val="00DC11AD"/>
    <w:rsid w:val="00DE1A39"/>
    <w:rsid w:val="00E53CB6"/>
    <w:rsid w:val="00E62E09"/>
    <w:rsid w:val="00F94CEF"/>
    <w:rsid w:val="00FD3F01"/>
    <w:rsid w:val="00FE22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E9AEEC"/>
  <w15:chartTrackingRefBased/>
  <w15:docId w15:val="{FB55C0B6-3E1A-463E-8D6C-C12FD890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B1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B1B0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B1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B1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B1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B1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B1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B1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B1B0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B1B0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B1B0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B1B0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B1B0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B1B0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B1B0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B1B0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B1B0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B1B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B1B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B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B1B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B02"/>
    <w:pPr>
      <w:spacing w:before="160" w:after="160"/>
      <w:jc w:val="center"/>
    </w:pPr>
    <w:rPr>
      <w:i/>
      <w:iCs/>
      <w:color w:val="404040" w:themeColor="text1" w:themeTint="BF"/>
    </w:rPr>
  </w:style>
  <w:style w:type="character" w:customStyle="1" w:styleId="a8">
    <w:name w:val="引用文 (文字)"/>
    <w:basedOn w:val="a0"/>
    <w:link w:val="a7"/>
    <w:uiPriority w:val="29"/>
    <w:rsid w:val="008B1B02"/>
    <w:rPr>
      <w:i/>
      <w:iCs/>
      <w:color w:val="404040" w:themeColor="text1" w:themeTint="BF"/>
    </w:rPr>
  </w:style>
  <w:style w:type="paragraph" w:styleId="a9">
    <w:name w:val="List Paragraph"/>
    <w:basedOn w:val="a"/>
    <w:uiPriority w:val="34"/>
    <w:qFormat/>
    <w:rsid w:val="008B1B02"/>
    <w:pPr>
      <w:ind w:left="720"/>
      <w:contextualSpacing/>
    </w:pPr>
  </w:style>
  <w:style w:type="character" w:styleId="21">
    <w:name w:val="Intense Emphasis"/>
    <w:basedOn w:val="a0"/>
    <w:uiPriority w:val="21"/>
    <w:qFormat/>
    <w:rsid w:val="008B1B02"/>
    <w:rPr>
      <w:i/>
      <w:iCs/>
      <w:color w:val="0F4761" w:themeColor="accent1" w:themeShade="BF"/>
    </w:rPr>
  </w:style>
  <w:style w:type="paragraph" w:styleId="22">
    <w:name w:val="Intense Quote"/>
    <w:basedOn w:val="a"/>
    <w:next w:val="a"/>
    <w:link w:val="23"/>
    <w:uiPriority w:val="30"/>
    <w:qFormat/>
    <w:rsid w:val="008B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B1B02"/>
    <w:rPr>
      <w:i/>
      <w:iCs/>
      <w:color w:val="0F4761" w:themeColor="accent1" w:themeShade="BF"/>
    </w:rPr>
  </w:style>
  <w:style w:type="character" w:styleId="24">
    <w:name w:val="Intense Reference"/>
    <w:basedOn w:val="a0"/>
    <w:uiPriority w:val="32"/>
    <w:qFormat/>
    <w:rsid w:val="008B1B02"/>
    <w:rPr>
      <w:b/>
      <w:bCs/>
      <w:smallCaps/>
      <w:color w:val="0F4761" w:themeColor="accent1" w:themeShade="BF"/>
      <w:spacing w:val="5"/>
    </w:rPr>
  </w:style>
  <w:style w:type="table" w:styleId="aa">
    <w:name w:val="Table Grid"/>
    <w:basedOn w:val="a1"/>
    <w:uiPriority w:val="39"/>
    <w:rsid w:val="008B1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534831"/>
    <w:pPr>
      <w:tabs>
        <w:tab w:val="center" w:pos="4252"/>
        <w:tab w:val="right" w:pos="8504"/>
      </w:tabs>
      <w:snapToGrid w:val="0"/>
    </w:pPr>
  </w:style>
  <w:style w:type="character" w:customStyle="1" w:styleId="ac">
    <w:name w:val="ヘッダー (文字)"/>
    <w:basedOn w:val="a0"/>
    <w:link w:val="ab"/>
    <w:uiPriority w:val="99"/>
    <w:rsid w:val="00534831"/>
  </w:style>
  <w:style w:type="paragraph" w:styleId="ad">
    <w:name w:val="footer"/>
    <w:basedOn w:val="a"/>
    <w:link w:val="ae"/>
    <w:uiPriority w:val="99"/>
    <w:unhideWhenUsed/>
    <w:rsid w:val="00534831"/>
    <w:pPr>
      <w:tabs>
        <w:tab w:val="center" w:pos="4252"/>
        <w:tab w:val="right" w:pos="8504"/>
      </w:tabs>
      <w:snapToGrid w:val="0"/>
    </w:pPr>
  </w:style>
  <w:style w:type="character" w:customStyle="1" w:styleId="ae">
    <w:name w:val="フッター (文字)"/>
    <w:basedOn w:val="a0"/>
    <w:link w:val="ad"/>
    <w:uiPriority w:val="99"/>
    <w:rsid w:val="00534831"/>
  </w:style>
  <w:style w:type="character" w:styleId="af">
    <w:name w:val="annotation reference"/>
    <w:basedOn w:val="a0"/>
    <w:uiPriority w:val="99"/>
    <w:semiHidden/>
    <w:unhideWhenUsed/>
    <w:rsid w:val="00BF735E"/>
    <w:rPr>
      <w:sz w:val="18"/>
      <w:szCs w:val="18"/>
    </w:rPr>
  </w:style>
  <w:style w:type="paragraph" w:styleId="af0">
    <w:name w:val="annotation text"/>
    <w:basedOn w:val="a"/>
    <w:link w:val="af1"/>
    <w:uiPriority w:val="99"/>
    <w:unhideWhenUsed/>
    <w:rsid w:val="00BF735E"/>
  </w:style>
  <w:style w:type="character" w:customStyle="1" w:styleId="af1">
    <w:name w:val="コメント文字列 (文字)"/>
    <w:basedOn w:val="a0"/>
    <w:link w:val="af0"/>
    <w:uiPriority w:val="99"/>
    <w:rsid w:val="00BF735E"/>
  </w:style>
  <w:style w:type="paragraph" w:styleId="af2">
    <w:name w:val="annotation subject"/>
    <w:basedOn w:val="af0"/>
    <w:next w:val="af0"/>
    <w:link w:val="af3"/>
    <w:uiPriority w:val="99"/>
    <w:semiHidden/>
    <w:unhideWhenUsed/>
    <w:rsid w:val="00BF735E"/>
    <w:rPr>
      <w:b/>
      <w:bCs/>
    </w:rPr>
  </w:style>
  <w:style w:type="character" w:customStyle="1" w:styleId="af3">
    <w:name w:val="コメント内容 (文字)"/>
    <w:basedOn w:val="af1"/>
    <w:link w:val="af2"/>
    <w:uiPriority w:val="99"/>
    <w:semiHidden/>
    <w:rsid w:val="00BF735E"/>
    <w:rPr>
      <w:b/>
      <w:bCs/>
    </w:rPr>
  </w:style>
  <w:style w:type="paragraph" w:styleId="af4">
    <w:name w:val="Revision"/>
    <w:hidden/>
    <w:uiPriority w:val="99"/>
    <w:semiHidden/>
    <w:rsid w:val="00BF7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H</dc:creator>
  <cp:keywords/>
  <dc:description/>
  <cp:lastModifiedBy>T H</cp:lastModifiedBy>
  <cp:revision>9</cp:revision>
  <dcterms:created xsi:type="dcterms:W3CDTF">2025-12-11T10:09:00Z</dcterms:created>
  <dcterms:modified xsi:type="dcterms:W3CDTF">2026-02-26T15:49:00Z</dcterms:modified>
</cp:coreProperties>
</file>