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37"/>
        <w:gridCol w:w="2420"/>
        <w:gridCol w:w="1867"/>
        <w:gridCol w:w="1417"/>
        <w:gridCol w:w="1559"/>
        <w:gridCol w:w="1276"/>
        <w:gridCol w:w="1276"/>
        <w:gridCol w:w="2090"/>
      </w:tblGrid>
      <w:tr w:rsidR="006C56C5" w:rsidRPr="00B44CAD" w14:paraId="1B8D985A" w14:textId="77777777" w:rsidTr="006C56C5">
        <w:trPr>
          <w:trHeight w:val="360"/>
        </w:trPr>
        <w:tc>
          <w:tcPr>
            <w:tcW w:w="13142" w:type="dxa"/>
            <w:gridSpan w:val="8"/>
            <w:noWrap/>
            <w:hideMark/>
          </w:tcPr>
          <w:p w14:paraId="2D6F228F" w14:textId="4684A7DC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Supplementary Table 3. </w:t>
            </w:r>
            <w:r w:rsidR="00D37D89" w:rsidRPr="00B44CAD">
              <w:rPr>
                <w:rFonts w:ascii="Times New Roman" w:hAnsi="Times New Roman" w:cs="Times New Roman"/>
                <w:sz w:val="16"/>
                <w:szCs w:val="16"/>
              </w:rPr>
              <w:t>Week 16, 52, 104, 156, and 196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outcomes in the present study and published comparator values</w:t>
            </w:r>
          </w:p>
        </w:tc>
      </w:tr>
      <w:tr w:rsidR="006C56C5" w:rsidRPr="00B44CAD" w14:paraId="5B0D6C9E" w14:textId="77777777" w:rsidTr="006C56C5">
        <w:trPr>
          <w:trHeight w:val="360"/>
        </w:trPr>
        <w:tc>
          <w:tcPr>
            <w:tcW w:w="1237" w:type="dxa"/>
            <w:noWrap/>
            <w:hideMark/>
          </w:tcPr>
          <w:p w14:paraId="221A645A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Outcome</w:t>
            </w:r>
          </w:p>
        </w:tc>
        <w:tc>
          <w:tcPr>
            <w:tcW w:w="2420" w:type="dxa"/>
            <w:noWrap/>
            <w:hideMark/>
          </w:tcPr>
          <w:p w14:paraId="69889840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Study/treatment</w:t>
            </w:r>
          </w:p>
        </w:tc>
        <w:tc>
          <w:tcPr>
            <w:tcW w:w="1867" w:type="dxa"/>
            <w:noWrap/>
            <w:hideMark/>
          </w:tcPr>
          <w:p w14:paraId="3845BAFF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Endpoint (as reported)</w:t>
            </w:r>
          </w:p>
        </w:tc>
        <w:tc>
          <w:tcPr>
            <w:tcW w:w="1417" w:type="dxa"/>
            <w:noWrap/>
            <w:hideMark/>
          </w:tcPr>
          <w:p w14:paraId="6623AA1E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Week 16 (%)</w:t>
            </w:r>
          </w:p>
        </w:tc>
        <w:tc>
          <w:tcPr>
            <w:tcW w:w="1559" w:type="dxa"/>
            <w:noWrap/>
            <w:hideMark/>
          </w:tcPr>
          <w:p w14:paraId="014226CE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Week 52 (%)</w:t>
            </w:r>
          </w:p>
        </w:tc>
        <w:tc>
          <w:tcPr>
            <w:tcW w:w="1276" w:type="dxa"/>
            <w:noWrap/>
            <w:hideMark/>
          </w:tcPr>
          <w:p w14:paraId="61D76182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Week 104 (%)</w:t>
            </w:r>
          </w:p>
        </w:tc>
        <w:tc>
          <w:tcPr>
            <w:tcW w:w="1276" w:type="dxa"/>
            <w:noWrap/>
            <w:hideMark/>
          </w:tcPr>
          <w:p w14:paraId="1EC4ACAB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Week 156 (%)</w:t>
            </w:r>
          </w:p>
        </w:tc>
        <w:tc>
          <w:tcPr>
            <w:tcW w:w="2090" w:type="dxa"/>
            <w:noWrap/>
            <w:hideMark/>
          </w:tcPr>
          <w:p w14:paraId="7A20E566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Week 196 (%)</w:t>
            </w:r>
          </w:p>
        </w:tc>
      </w:tr>
      <w:tr w:rsidR="006C56C5" w:rsidRPr="00B44CAD" w14:paraId="62B9BE2C" w14:textId="77777777" w:rsidTr="006C56C5">
        <w:trPr>
          <w:trHeight w:val="360"/>
        </w:trPr>
        <w:tc>
          <w:tcPr>
            <w:tcW w:w="1237" w:type="dxa"/>
            <w:vMerge w:val="restart"/>
            <w:noWrap/>
            <w:hideMark/>
          </w:tcPr>
          <w:p w14:paraId="2D0CDF43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Genital lesions</w:t>
            </w:r>
          </w:p>
        </w:tc>
        <w:tc>
          <w:tcPr>
            <w:tcW w:w="2420" w:type="dxa"/>
            <w:noWrap/>
            <w:hideMark/>
          </w:tcPr>
          <w:p w14:paraId="61DDDC76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Present study (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867" w:type="dxa"/>
            <w:noWrap/>
            <w:hideMark/>
          </w:tcPr>
          <w:p w14:paraId="175F93E1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genital-PGA 0/1</w:t>
            </w:r>
          </w:p>
        </w:tc>
        <w:tc>
          <w:tcPr>
            <w:tcW w:w="1417" w:type="dxa"/>
            <w:noWrap/>
            <w:hideMark/>
          </w:tcPr>
          <w:p w14:paraId="48B8DFA0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54.2</w:t>
            </w:r>
          </w:p>
        </w:tc>
        <w:tc>
          <w:tcPr>
            <w:tcW w:w="1559" w:type="dxa"/>
            <w:noWrap/>
            <w:hideMark/>
          </w:tcPr>
          <w:p w14:paraId="7767E280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83.3</w:t>
            </w:r>
          </w:p>
        </w:tc>
        <w:tc>
          <w:tcPr>
            <w:tcW w:w="1276" w:type="dxa"/>
            <w:noWrap/>
            <w:hideMark/>
          </w:tcPr>
          <w:p w14:paraId="67693F7C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92.3</w:t>
            </w:r>
          </w:p>
        </w:tc>
        <w:tc>
          <w:tcPr>
            <w:tcW w:w="1276" w:type="dxa"/>
            <w:noWrap/>
            <w:hideMark/>
          </w:tcPr>
          <w:p w14:paraId="4BB562F8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08A2A5A7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27D0BE80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0AC19B45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406E4E27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Risankizumab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 xml:space="preserve"> a</w:t>
            </w:r>
          </w:p>
        </w:tc>
        <w:tc>
          <w:tcPr>
            <w:tcW w:w="1867" w:type="dxa"/>
            <w:noWrap/>
            <w:hideMark/>
          </w:tcPr>
          <w:p w14:paraId="62B90ED3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sPGA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-g 0/1</w:t>
            </w:r>
          </w:p>
        </w:tc>
        <w:tc>
          <w:tcPr>
            <w:tcW w:w="1417" w:type="dxa"/>
            <w:noWrap/>
            <w:hideMark/>
          </w:tcPr>
          <w:p w14:paraId="707A9AA1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88.2</w:t>
            </w:r>
          </w:p>
        </w:tc>
        <w:tc>
          <w:tcPr>
            <w:tcW w:w="1559" w:type="dxa"/>
            <w:noWrap/>
            <w:hideMark/>
          </w:tcPr>
          <w:p w14:paraId="2A8AF47F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2FD27618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276" w:type="dxa"/>
            <w:noWrap/>
            <w:hideMark/>
          </w:tcPr>
          <w:p w14:paraId="380934E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543F9F57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56D4AEF2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0E28EB93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52E22D49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Risankizumab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867" w:type="dxa"/>
            <w:noWrap/>
            <w:hideMark/>
          </w:tcPr>
          <w:p w14:paraId="49F01CEA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sPGA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-G 0/1</w:t>
            </w:r>
          </w:p>
        </w:tc>
        <w:tc>
          <w:tcPr>
            <w:tcW w:w="1417" w:type="dxa"/>
            <w:noWrap/>
            <w:hideMark/>
          </w:tcPr>
          <w:p w14:paraId="1B921D38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559" w:type="dxa"/>
            <w:noWrap/>
            <w:hideMark/>
          </w:tcPr>
          <w:p w14:paraId="4F77A983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82.8</w:t>
            </w:r>
          </w:p>
        </w:tc>
        <w:tc>
          <w:tcPr>
            <w:tcW w:w="1276" w:type="dxa"/>
            <w:noWrap/>
            <w:hideMark/>
          </w:tcPr>
          <w:p w14:paraId="3CAEDAF6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92.7</w:t>
            </w:r>
          </w:p>
        </w:tc>
        <w:tc>
          <w:tcPr>
            <w:tcW w:w="1276" w:type="dxa"/>
            <w:noWrap/>
            <w:hideMark/>
          </w:tcPr>
          <w:p w14:paraId="1B12D713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090" w:type="dxa"/>
            <w:noWrap/>
            <w:hideMark/>
          </w:tcPr>
          <w:p w14:paraId="3CD1C73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1D58C84F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38486091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4BAD6EAC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Guselkumab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867" w:type="dxa"/>
            <w:noWrap/>
            <w:hideMark/>
          </w:tcPr>
          <w:p w14:paraId="577B87B6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Percent reduction for area of genital lesions</w:t>
            </w:r>
          </w:p>
        </w:tc>
        <w:tc>
          <w:tcPr>
            <w:tcW w:w="1417" w:type="dxa"/>
            <w:noWrap/>
            <w:hideMark/>
          </w:tcPr>
          <w:p w14:paraId="3912390B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65.6</w:t>
            </w:r>
          </w:p>
        </w:tc>
        <w:tc>
          <w:tcPr>
            <w:tcW w:w="1559" w:type="dxa"/>
            <w:noWrap/>
            <w:hideMark/>
          </w:tcPr>
          <w:p w14:paraId="0B23325E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94.2</w:t>
            </w:r>
          </w:p>
        </w:tc>
        <w:tc>
          <w:tcPr>
            <w:tcW w:w="1276" w:type="dxa"/>
            <w:noWrap/>
            <w:hideMark/>
          </w:tcPr>
          <w:p w14:paraId="604FEBAE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98.2</w:t>
            </w:r>
          </w:p>
        </w:tc>
        <w:tc>
          <w:tcPr>
            <w:tcW w:w="1276" w:type="dxa"/>
            <w:noWrap/>
            <w:hideMark/>
          </w:tcPr>
          <w:p w14:paraId="75116081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36B01D17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55217C79" w14:textId="77777777" w:rsidTr="006C56C5">
        <w:trPr>
          <w:trHeight w:val="330"/>
        </w:trPr>
        <w:tc>
          <w:tcPr>
            <w:tcW w:w="1237" w:type="dxa"/>
            <w:vMerge w:val="restart"/>
            <w:hideMark/>
          </w:tcPr>
          <w:p w14:paraId="72094714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Scalp lesions</w:t>
            </w:r>
          </w:p>
        </w:tc>
        <w:tc>
          <w:tcPr>
            <w:tcW w:w="2420" w:type="dxa"/>
            <w:hideMark/>
          </w:tcPr>
          <w:p w14:paraId="68F8B5EF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Present study (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867" w:type="dxa"/>
            <w:vMerge w:val="restart"/>
            <w:hideMark/>
          </w:tcPr>
          <w:p w14:paraId="286892C7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ss-PGA 0/1</w:t>
            </w:r>
          </w:p>
        </w:tc>
        <w:tc>
          <w:tcPr>
            <w:tcW w:w="1417" w:type="dxa"/>
            <w:hideMark/>
          </w:tcPr>
          <w:p w14:paraId="4ED3A6EC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63.4</w:t>
            </w:r>
          </w:p>
        </w:tc>
        <w:tc>
          <w:tcPr>
            <w:tcW w:w="1559" w:type="dxa"/>
            <w:hideMark/>
          </w:tcPr>
          <w:p w14:paraId="28B78247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89.2</w:t>
            </w:r>
          </w:p>
        </w:tc>
        <w:tc>
          <w:tcPr>
            <w:tcW w:w="1276" w:type="dxa"/>
            <w:hideMark/>
          </w:tcPr>
          <w:p w14:paraId="230DAFC4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83.3</w:t>
            </w:r>
          </w:p>
        </w:tc>
        <w:tc>
          <w:tcPr>
            <w:tcW w:w="1276" w:type="dxa"/>
            <w:noWrap/>
            <w:hideMark/>
          </w:tcPr>
          <w:p w14:paraId="5F1CC11A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6D28E68C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26F20DDD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00B1124A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24175CAD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d</w:t>
            </w:r>
          </w:p>
        </w:tc>
        <w:tc>
          <w:tcPr>
            <w:tcW w:w="1867" w:type="dxa"/>
            <w:vMerge/>
            <w:hideMark/>
          </w:tcPr>
          <w:p w14:paraId="2F4B30BE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7" w:type="dxa"/>
            <w:noWrap/>
            <w:hideMark/>
          </w:tcPr>
          <w:p w14:paraId="7299AA78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81</w:t>
            </w:r>
          </w:p>
        </w:tc>
        <w:tc>
          <w:tcPr>
            <w:tcW w:w="1559" w:type="dxa"/>
            <w:noWrap/>
            <w:hideMark/>
          </w:tcPr>
          <w:p w14:paraId="0C2DC40E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276" w:type="dxa"/>
            <w:noWrap/>
            <w:hideMark/>
          </w:tcPr>
          <w:p w14:paraId="52C71218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276" w:type="dxa"/>
            <w:noWrap/>
            <w:hideMark/>
          </w:tcPr>
          <w:p w14:paraId="3A0E07B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474B185A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7B8C4076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2F0A909B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435A626D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e</w:t>
            </w:r>
          </w:p>
        </w:tc>
        <w:tc>
          <w:tcPr>
            <w:tcW w:w="1867" w:type="dxa"/>
            <w:vMerge/>
            <w:hideMark/>
          </w:tcPr>
          <w:p w14:paraId="7D7EBA73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7" w:type="dxa"/>
            <w:noWrap/>
            <w:hideMark/>
          </w:tcPr>
          <w:p w14:paraId="01C3B93B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64</w:t>
            </w:r>
          </w:p>
        </w:tc>
        <w:tc>
          <w:tcPr>
            <w:tcW w:w="1559" w:type="dxa"/>
            <w:noWrap/>
            <w:hideMark/>
          </w:tcPr>
          <w:p w14:paraId="4CA5ABD4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65.6</w:t>
            </w:r>
          </w:p>
        </w:tc>
        <w:tc>
          <w:tcPr>
            <w:tcW w:w="1276" w:type="dxa"/>
            <w:noWrap/>
            <w:hideMark/>
          </w:tcPr>
          <w:p w14:paraId="0ABDC1FB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276" w:type="dxa"/>
            <w:noWrap/>
            <w:hideMark/>
          </w:tcPr>
          <w:p w14:paraId="2CC77C1F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7BF1851A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62ECAE87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4E91DF2F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4D2BF2B4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f</w:t>
            </w:r>
          </w:p>
        </w:tc>
        <w:tc>
          <w:tcPr>
            <w:tcW w:w="1867" w:type="dxa"/>
            <w:noWrap/>
            <w:hideMark/>
          </w:tcPr>
          <w:p w14:paraId="2A0ABB0F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ss-PGA 0/1</w:t>
            </w:r>
          </w:p>
        </w:tc>
        <w:tc>
          <w:tcPr>
            <w:tcW w:w="1417" w:type="dxa"/>
            <w:noWrap/>
            <w:hideMark/>
          </w:tcPr>
          <w:p w14:paraId="78B6F5DA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72.3</w:t>
            </w:r>
          </w:p>
        </w:tc>
        <w:tc>
          <w:tcPr>
            <w:tcW w:w="1559" w:type="dxa"/>
            <w:noWrap/>
            <w:hideMark/>
          </w:tcPr>
          <w:p w14:paraId="1E02B05F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74.1</w:t>
            </w:r>
          </w:p>
        </w:tc>
        <w:tc>
          <w:tcPr>
            <w:tcW w:w="1276" w:type="dxa"/>
            <w:noWrap/>
            <w:hideMark/>
          </w:tcPr>
          <w:p w14:paraId="6834EFDF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276" w:type="dxa"/>
            <w:noWrap/>
            <w:hideMark/>
          </w:tcPr>
          <w:p w14:paraId="51E3232A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80.9</w:t>
            </w:r>
          </w:p>
        </w:tc>
        <w:tc>
          <w:tcPr>
            <w:tcW w:w="2090" w:type="dxa"/>
            <w:noWrap/>
            <w:hideMark/>
          </w:tcPr>
          <w:p w14:paraId="11C8E458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76.5</w:t>
            </w:r>
          </w:p>
        </w:tc>
      </w:tr>
      <w:tr w:rsidR="006C56C5" w:rsidRPr="00B44CAD" w14:paraId="36D98AC4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2CF0517A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1A728665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Risankizumab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867" w:type="dxa"/>
            <w:noWrap/>
            <w:hideMark/>
          </w:tcPr>
          <w:p w14:paraId="369A98B3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sc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-PGA 0/1</w:t>
            </w:r>
          </w:p>
        </w:tc>
        <w:tc>
          <w:tcPr>
            <w:tcW w:w="1417" w:type="dxa"/>
            <w:noWrap/>
            <w:hideMark/>
          </w:tcPr>
          <w:p w14:paraId="63E0D3DB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559" w:type="dxa"/>
            <w:noWrap/>
            <w:hideMark/>
          </w:tcPr>
          <w:p w14:paraId="432C67AD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79.1</w:t>
            </w:r>
          </w:p>
        </w:tc>
        <w:tc>
          <w:tcPr>
            <w:tcW w:w="1276" w:type="dxa"/>
            <w:noWrap/>
            <w:hideMark/>
          </w:tcPr>
          <w:p w14:paraId="19924000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87.7</w:t>
            </w:r>
          </w:p>
        </w:tc>
        <w:tc>
          <w:tcPr>
            <w:tcW w:w="1276" w:type="dxa"/>
            <w:noWrap/>
            <w:hideMark/>
          </w:tcPr>
          <w:p w14:paraId="1AAE05E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2090" w:type="dxa"/>
            <w:noWrap/>
            <w:hideMark/>
          </w:tcPr>
          <w:p w14:paraId="2125812E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08371609" w14:textId="77777777" w:rsidTr="006C56C5">
        <w:trPr>
          <w:trHeight w:val="360"/>
        </w:trPr>
        <w:tc>
          <w:tcPr>
            <w:tcW w:w="1237" w:type="dxa"/>
            <w:vMerge w:val="restart"/>
            <w:noWrap/>
            <w:hideMark/>
          </w:tcPr>
          <w:p w14:paraId="52AD5EDD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Nail lesions</w:t>
            </w:r>
          </w:p>
        </w:tc>
        <w:tc>
          <w:tcPr>
            <w:tcW w:w="2420" w:type="dxa"/>
            <w:noWrap/>
            <w:hideMark/>
          </w:tcPr>
          <w:p w14:paraId="601D2012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Present study (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867" w:type="dxa"/>
            <w:vMerge w:val="restart"/>
            <w:noWrap/>
            <w:hideMark/>
          </w:tcPr>
          <w:p w14:paraId="58643FEF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PGA-F 0/1</w:t>
            </w:r>
          </w:p>
        </w:tc>
        <w:tc>
          <w:tcPr>
            <w:tcW w:w="1417" w:type="dxa"/>
            <w:noWrap/>
            <w:hideMark/>
          </w:tcPr>
          <w:p w14:paraId="18F5952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18.3</w:t>
            </w:r>
          </w:p>
        </w:tc>
        <w:tc>
          <w:tcPr>
            <w:tcW w:w="1559" w:type="dxa"/>
            <w:noWrap/>
            <w:hideMark/>
          </w:tcPr>
          <w:p w14:paraId="2067F780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61</w:t>
            </w:r>
          </w:p>
        </w:tc>
        <w:tc>
          <w:tcPr>
            <w:tcW w:w="1276" w:type="dxa"/>
            <w:noWrap/>
            <w:hideMark/>
          </w:tcPr>
          <w:p w14:paraId="4F8EA66B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46.7</w:t>
            </w:r>
          </w:p>
        </w:tc>
        <w:tc>
          <w:tcPr>
            <w:tcW w:w="1276" w:type="dxa"/>
            <w:noWrap/>
            <w:hideMark/>
          </w:tcPr>
          <w:p w14:paraId="2E932433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5DE07D63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4258138B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44550D4B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0DEBCEAA" w14:textId="0272B311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f</w:t>
            </w:r>
          </w:p>
        </w:tc>
        <w:tc>
          <w:tcPr>
            <w:tcW w:w="1867" w:type="dxa"/>
            <w:vMerge/>
            <w:hideMark/>
          </w:tcPr>
          <w:p w14:paraId="2A64101F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7" w:type="dxa"/>
            <w:noWrap/>
            <w:hideMark/>
          </w:tcPr>
          <w:p w14:paraId="5BCB503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20.3</w:t>
            </w:r>
          </w:p>
        </w:tc>
        <w:tc>
          <w:tcPr>
            <w:tcW w:w="1559" w:type="dxa"/>
            <w:noWrap/>
            <w:hideMark/>
          </w:tcPr>
          <w:p w14:paraId="21D1882E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276" w:type="dxa"/>
            <w:noWrap/>
            <w:hideMark/>
          </w:tcPr>
          <w:p w14:paraId="7E620EA5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276" w:type="dxa"/>
            <w:noWrap/>
            <w:hideMark/>
          </w:tcPr>
          <w:p w14:paraId="12D8CA27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56.8</w:t>
            </w:r>
          </w:p>
        </w:tc>
        <w:tc>
          <w:tcPr>
            <w:tcW w:w="2090" w:type="dxa"/>
            <w:noWrap/>
            <w:hideMark/>
          </w:tcPr>
          <w:p w14:paraId="21CFF78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70.6</w:t>
            </w:r>
          </w:p>
        </w:tc>
      </w:tr>
      <w:tr w:rsidR="006C56C5" w:rsidRPr="00B44CAD" w14:paraId="5CF14752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47F28DFE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3F3E2297" w14:textId="2AB525AA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Risankizumab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867" w:type="dxa"/>
            <w:noWrap/>
            <w:hideMark/>
          </w:tcPr>
          <w:p w14:paraId="4DC1C21D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fn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-PGA 0/1</w:t>
            </w:r>
          </w:p>
        </w:tc>
        <w:tc>
          <w:tcPr>
            <w:tcW w:w="1417" w:type="dxa"/>
            <w:noWrap/>
            <w:hideMark/>
          </w:tcPr>
          <w:p w14:paraId="1D40A26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559" w:type="dxa"/>
            <w:noWrap/>
            <w:hideMark/>
          </w:tcPr>
          <w:p w14:paraId="53A361BF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80.3</w:t>
            </w:r>
          </w:p>
        </w:tc>
        <w:tc>
          <w:tcPr>
            <w:tcW w:w="1276" w:type="dxa"/>
            <w:noWrap/>
            <w:hideMark/>
          </w:tcPr>
          <w:p w14:paraId="3DE9C0CB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85.6</w:t>
            </w:r>
          </w:p>
        </w:tc>
        <w:tc>
          <w:tcPr>
            <w:tcW w:w="1276" w:type="dxa"/>
            <w:noWrap/>
            <w:hideMark/>
          </w:tcPr>
          <w:p w14:paraId="4B95EE82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95</w:t>
            </w:r>
          </w:p>
        </w:tc>
        <w:tc>
          <w:tcPr>
            <w:tcW w:w="2090" w:type="dxa"/>
            <w:noWrap/>
            <w:hideMark/>
          </w:tcPr>
          <w:p w14:paraId="51EBC4FF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19F38E50" w14:textId="77777777" w:rsidTr="006C56C5">
        <w:trPr>
          <w:trHeight w:val="413"/>
        </w:trPr>
        <w:tc>
          <w:tcPr>
            <w:tcW w:w="1237" w:type="dxa"/>
            <w:vMerge w:val="restart"/>
            <w:noWrap/>
            <w:hideMark/>
          </w:tcPr>
          <w:p w14:paraId="2F4A0914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QoL</w:t>
            </w:r>
          </w:p>
        </w:tc>
        <w:tc>
          <w:tcPr>
            <w:tcW w:w="2420" w:type="dxa"/>
            <w:noWrap/>
            <w:hideMark/>
          </w:tcPr>
          <w:p w14:paraId="464B1A82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Present study (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867" w:type="dxa"/>
            <w:vMerge w:val="restart"/>
            <w:noWrap/>
            <w:hideMark/>
          </w:tcPr>
          <w:p w14:paraId="4A44C9B0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DLQI 0/1</w:t>
            </w:r>
          </w:p>
        </w:tc>
        <w:tc>
          <w:tcPr>
            <w:tcW w:w="1417" w:type="dxa"/>
            <w:noWrap/>
            <w:hideMark/>
          </w:tcPr>
          <w:p w14:paraId="4BFA4452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27.8</w:t>
            </w:r>
          </w:p>
        </w:tc>
        <w:tc>
          <w:tcPr>
            <w:tcW w:w="1559" w:type="dxa"/>
            <w:noWrap/>
            <w:hideMark/>
          </w:tcPr>
          <w:p w14:paraId="5B1BE065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63.9</w:t>
            </w:r>
          </w:p>
        </w:tc>
        <w:tc>
          <w:tcPr>
            <w:tcW w:w="1276" w:type="dxa"/>
            <w:noWrap/>
            <w:hideMark/>
          </w:tcPr>
          <w:p w14:paraId="577C5E07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64</w:t>
            </w:r>
          </w:p>
        </w:tc>
        <w:tc>
          <w:tcPr>
            <w:tcW w:w="1276" w:type="dxa"/>
            <w:noWrap/>
            <w:hideMark/>
          </w:tcPr>
          <w:p w14:paraId="59301C7E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25C1E178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7657A282" w14:textId="77777777" w:rsidTr="006C56C5">
        <w:trPr>
          <w:trHeight w:val="340"/>
        </w:trPr>
        <w:tc>
          <w:tcPr>
            <w:tcW w:w="1237" w:type="dxa"/>
            <w:vMerge/>
            <w:hideMark/>
          </w:tcPr>
          <w:p w14:paraId="2FA7651C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43DEB90A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d</w:t>
            </w:r>
          </w:p>
        </w:tc>
        <w:tc>
          <w:tcPr>
            <w:tcW w:w="1867" w:type="dxa"/>
            <w:vMerge/>
            <w:hideMark/>
          </w:tcPr>
          <w:p w14:paraId="526D949D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7" w:type="dxa"/>
            <w:noWrap/>
            <w:hideMark/>
          </w:tcPr>
          <w:p w14:paraId="50EB3F06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45.2</w:t>
            </w:r>
          </w:p>
        </w:tc>
        <w:tc>
          <w:tcPr>
            <w:tcW w:w="1559" w:type="dxa"/>
            <w:noWrap/>
            <w:hideMark/>
          </w:tcPr>
          <w:p w14:paraId="6BDDA9E9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276" w:type="dxa"/>
            <w:noWrap/>
            <w:hideMark/>
          </w:tcPr>
          <w:p w14:paraId="31CC3C97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276" w:type="dxa"/>
            <w:noWrap/>
            <w:hideMark/>
          </w:tcPr>
          <w:p w14:paraId="033D4AE5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090" w:type="dxa"/>
            <w:noWrap/>
            <w:hideMark/>
          </w:tcPr>
          <w:p w14:paraId="616EE518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6C56C5" w:rsidRPr="00B44CAD" w14:paraId="15E2EB72" w14:textId="77777777" w:rsidTr="006C56C5">
        <w:trPr>
          <w:trHeight w:val="360"/>
        </w:trPr>
        <w:tc>
          <w:tcPr>
            <w:tcW w:w="1237" w:type="dxa"/>
            <w:vMerge/>
            <w:hideMark/>
          </w:tcPr>
          <w:p w14:paraId="1B024F70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0" w:type="dxa"/>
            <w:noWrap/>
            <w:hideMark/>
          </w:tcPr>
          <w:p w14:paraId="42AE390E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f</w:t>
            </w:r>
          </w:p>
        </w:tc>
        <w:tc>
          <w:tcPr>
            <w:tcW w:w="1867" w:type="dxa"/>
            <w:vMerge/>
            <w:hideMark/>
          </w:tcPr>
          <w:p w14:paraId="30CF9EDC" w14:textId="77777777" w:rsidR="006C56C5" w:rsidRPr="00B44CAD" w:rsidRDefault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7" w:type="dxa"/>
            <w:noWrap/>
            <w:hideMark/>
          </w:tcPr>
          <w:p w14:paraId="280E306B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559" w:type="dxa"/>
            <w:noWrap/>
            <w:hideMark/>
          </w:tcPr>
          <w:p w14:paraId="43645230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51.7</w:t>
            </w:r>
          </w:p>
        </w:tc>
        <w:tc>
          <w:tcPr>
            <w:tcW w:w="1276" w:type="dxa"/>
            <w:noWrap/>
            <w:hideMark/>
          </w:tcPr>
          <w:p w14:paraId="7AB1C2B1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52.6</w:t>
            </w:r>
          </w:p>
        </w:tc>
        <w:tc>
          <w:tcPr>
            <w:tcW w:w="1276" w:type="dxa"/>
            <w:noWrap/>
            <w:hideMark/>
          </w:tcPr>
          <w:p w14:paraId="1086F68A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53.3</w:t>
            </w:r>
          </w:p>
        </w:tc>
        <w:tc>
          <w:tcPr>
            <w:tcW w:w="2090" w:type="dxa"/>
            <w:noWrap/>
            <w:hideMark/>
          </w:tcPr>
          <w:p w14:paraId="24ACD7E3" w14:textId="77777777" w:rsidR="006C56C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54.8</w:t>
            </w:r>
          </w:p>
        </w:tc>
      </w:tr>
      <w:tr w:rsidR="006C56C5" w:rsidRPr="00B44CAD" w14:paraId="6D685B57" w14:textId="77777777" w:rsidTr="006C56C5">
        <w:trPr>
          <w:trHeight w:val="3534"/>
        </w:trPr>
        <w:tc>
          <w:tcPr>
            <w:tcW w:w="13142" w:type="dxa"/>
            <w:gridSpan w:val="8"/>
            <w:hideMark/>
          </w:tcPr>
          <w:p w14:paraId="319FDA47" w14:textId="77777777" w:rsidR="004A7097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Present study: Achievement was defined as score 0 or 1 with ≥ 2-point reduction from baseline among patients with baseline score ≥ 2 for each outcome.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proofErr w:type="gramStart"/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a</w:t>
            </w:r>
            <w:proofErr w:type="gramEnd"/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 xml:space="preserve"> 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Orsini D, et al. J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Eur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Acad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Dermatol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Venereol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. 2024. (Risankizumab; genital PGA 0/1 at weeks 16 and 52)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b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Gargiulo L, et al. J Clin Med. 2024. (Risankizumab;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sPGA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noBreakHyphen/>
              <w:t xml:space="preserve">G 0/1,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sc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noBreakHyphen/>
              <w:t xml:space="preserve">PGA 0/1, and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fn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noBreakHyphen/>
              <w:t>PGA 0/1 at weeks 52, 104, and 156)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 xml:space="preserve">c 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Megna M, et al. J Clin Med. 2024. (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Guselkumab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; percent reduction for area of genital lesions at weeks 16, 52, and 108; the week 108 value is shown in the week 104 column)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d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Imafuku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S, et al. J Dermatol. 2023. (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; ss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noBreakHyphen/>
              <w:t>PGA 0/1 and DLQI 0/1 at week 16)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e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Blauvelt A, et al. J Am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Acad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Dermatol. 2024. (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; ss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noBreakHyphen/>
              <w:t>PGA 0/1 at weeks 16 and 52)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B44CA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 xml:space="preserve">f 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Armstrong AW, et al. J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Eur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Acad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 Dermatol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Venereol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. 2025. (As observed. </w:t>
            </w:r>
            <w:proofErr w:type="spellStart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; ss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noBreakHyphen/>
              <w:t>PGA 0/1 and PGA</w:t>
            </w:r>
            <w:r w:rsidRPr="00B44CAD">
              <w:rPr>
                <w:rFonts w:ascii="Times New Roman" w:hAnsi="Times New Roman" w:cs="Times New Roman"/>
                <w:sz w:val="16"/>
                <w:szCs w:val="16"/>
              </w:rPr>
              <w:noBreakHyphen/>
              <w:t>F 0/1 at weeks 16, 52, 148, and 196, and DLQI 0/1 at weeks 52, 104, 148, and 196; the week 148 values are shown in the week 156 column)</w:t>
            </w:r>
            <w:r w:rsidR="004A7097" w:rsidRPr="00B44CAD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</w:t>
            </w:r>
          </w:p>
          <w:p w14:paraId="5215456F" w14:textId="77777777" w:rsidR="004A7097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Published comparator values are shown as reported in each study. Endpoints and assessment weeks may differ. — indicates not reported.</w:t>
            </w:r>
          </w:p>
          <w:p w14:paraId="13A35ACB" w14:textId="77777777" w:rsidR="00190F95" w:rsidRPr="00B44CAD" w:rsidRDefault="006C56C5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This table includes published comparator information cited in this manuscript and is not intended to be exhaustive.</w:t>
            </w:r>
          </w:p>
          <w:p w14:paraId="3D6F2EEF" w14:textId="1ED2AF7F" w:rsidR="006C56C5" w:rsidRPr="00B44CAD" w:rsidRDefault="007D6ADA" w:rsidP="006C56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4CAD">
              <w:rPr>
                <w:rFonts w:ascii="Times New Roman" w:hAnsi="Times New Roman" w:cs="Times New Roman"/>
                <w:sz w:val="16"/>
                <w:szCs w:val="16"/>
              </w:rPr>
              <w:t>PGA,</w:t>
            </w:r>
            <w:r w:rsidRPr="00B44CAD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</w:t>
            </w:r>
            <w:r w:rsidR="006C56C5"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Physician’s Global Assessment; </w:t>
            </w:r>
            <w:proofErr w:type="spellStart"/>
            <w:r w:rsidR="00541AE9" w:rsidRPr="00B44CAD">
              <w:rPr>
                <w:rFonts w:ascii="Times New Roman" w:hAnsi="Times New Roman" w:cs="Times New Roman"/>
                <w:sz w:val="16"/>
                <w:szCs w:val="16"/>
              </w:rPr>
              <w:t>sPGA</w:t>
            </w:r>
            <w:proofErr w:type="spellEnd"/>
            <w:r w:rsidR="00541AE9"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-g or </w:t>
            </w:r>
            <w:proofErr w:type="spellStart"/>
            <w:r w:rsidR="00541AE9" w:rsidRPr="00B44CAD">
              <w:rPr>
                <w:rFonts w:ascii="Times New Roman" w:hAnsi="Times New Roman" w:cs="Times New Roman"/>
                <w:sz w:val="16"/>
                <w:szCs w:val="16"/>
              </w:rPr>
              <w:t>sPGA</w:t>
            </w:r>
            <w:proofErr w:type="spellEnd"/>
            <w:r w:rsidR="00541AE9" w:rsidRPr="00B44CAD">
              <w:rPr>
                <w:rFonts w:ascii="Times New Roman" w:hAnsi="Times New Roman" w:cs="Times New Roman"/>
                <w:sz w:val="16"/>
                <w:szCs w:val="16"/>
              </w:rPr>
              <w:t>-G</w:t>
            </w:r>
            <w:r w:rsidR="006C56C5"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, static Physician’s Global Assessment of Genitalia; ss-PGA, scalp-specific PGA; </w:t>
            </w:r>
            <w:proofErr w:type="spellStart"/>
            <w:r w:rsidR="006C56C5" w:rsidRPr="00B44CAD">
              <w:rPr>
                <w:rFonts w:ascii="Times New Roman" w:hAnsi="Times New Roman" w:cs="Times New Roman"/>
                <w:sz w:val="16"/>
                <w:szCs w:val="16"/>
              </w:rPr>
              <w:t>sc</w:t>
            </w:r>
            <w:proofErr w:type="spellEnd"/>
            <w:r w:rsidR="006C56C5" w:rsidRPr="00B44CAD">
              <w:rPr>
                <w:rFonts w:ascii="Times New Roman" w:hAnsi="Times New Roman" w:cs="Times New Roman"/>
                <w:sz w:val="16"/>
                <w:szCs w:val="16"/>
              </w:rPr>
              <w:t xml:space="preserve">-PGA, scalp-specific Physician’s Global Assessment; PGA-F, PGA of fingernails; </w:t>
            </w:r>
            <w:proofErr w:type="spellStart"/>
            <w:r w:rsidR="006C56C5" w:rsidRPr="00B44CAD">
              <w:rPr>
                <w:rFonts w:ascii="Times New Roman" w:hAnsi="Times New Roman" w:cs="Times New Roman"/>
                <w:sz w:val="16"/>
                <w:szCs w:val="16"/>
              </w:rPr>
              <w:t>fn</w:t>
            </w:r>
            <w:proofErr w:type="spellEnd"/>
            <w:r w:rsidR="006C56C5" w:rsidRPr="00B44CAD">
              <w:rPr>
                <w:rFonts w:ascii="Times New Roman" w:hAnsi="Times New Roman" w:cs="Times New Roman"/>
                <w:sz w:val="16"/>
                <w:szCs w:val="16"/>
              </w:rPr>
              <w:t>-PGA 0/1, fingernail PGA; DLQI, Dermatology Life Quality Index; QoL, quality of life.</w:t>
            </w:r>
          </w:p>
        </w:tc>
      </w:tr>
    </w:tbl>
    <w:p w14:paraId="7DFC00A1" w14:textId="77777777" w:rsidR="006C56C5" w:rsidRPr="006C56C5" w:rsidRDefault="006C56C5">
      <w:pPr>
        <w:rPr>
          <w:rFonts w:ascii="Times New Roman" w:hAnsi="Times New Roman" w:cs="Times New Roman"/>
          <w:sz w:val="16"/>
          <w:szCs w:val="16"/>
        </w:rPr>
      </w:pPr>
    </w:p>
    <w:sectPr w:rsidR="006C56C5" w:rsidRPr="006C56C5" w:rsidSect="006C56C5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C5"/>
    <w:rsid w:val="000266E5"/>
    <w:rsid w:val="00176E6B"/>
    <w:rsid w:val="00190F95"/>
    <w:rsid w:val="004A7097"/>
    <w:rsid w:val="004B69CE"/>
    <w:rsid w:val="00541AE9"/>
    <w:rsid w:val="006C56C5"/>
    <w:rsid w:val="007D6ADA"/>
    <w:rsid w:val="00895846"/>
    <w:rsid w:val="0096074E"/>
    <w:rsid w:val="00B44CAD"/>
    <w:rsid w:val="00B51228"/>
    <w:rsid w:val="00D37D89"/>
    <w:rsid w:val="00E24910"/>
    <w:rsid w:val="00EB0458"/>
    <w:rsid w:val="00F0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7937D8"/>
  <w15:chartTrackingRefBased/>
  <w15:docId w15:val="{2A277560-F9F7-4B1F-9FA1-9E234685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56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6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6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6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6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6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6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6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C56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C56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C56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C5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C5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C5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C5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C5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C56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C56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C5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6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C56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56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C56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56C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C56C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C5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C56C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C56C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C5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EB0458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EB0458"/>
  </w:style>
  <w:style w:type="character" w:customStyle="1" w:styleId="ad">
    <w:name w:val="コメント文字列 (文字)"/>
    <w:basedOn w:val="a0"/>
    <w:link w:val="ac"/>
    <w:uiPriority w:val="99"/>
    <w:rsid w:val="00EB0458"/>
  </w:style>
  <w:style w:type="paragraph" w:styleId="ae">
    <w:name w:val="annotation subject"/>
    <w:basedOn w:val="ac"/>
    <w:next w:val="ac"/>
    <w:link w:val="af"/>
    <w:uiPriority w:val="99"/>
    <w:semiHidden/>
    <w:unhideWhenUsed/>
    <w:rsid w:val="00EB0458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EB04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</dc:creator>
  <cp:keywords/>
  <dc:description/>
  <cp:lastModifiedBy>T H</cp:lastModifiedBy>
  <cp:revision>6</cp:revision>
  <dcterms:created xsi:type="dcterms:W3CDTF">2026-02-19T09:27:00Z</dcterms:created>
  <dcterms:modified xsi:type="dcterms:W3CDTF">2026-02-26T15:50:00Z</dcterms:modified>
</cp:coreProperties>
</file>