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00"/>
        <w:gridCol w:w="2380"/>
      </w:tblGrid>
      <w:tr w:rsidR="008B2E1C" w:rsidRPr="00F2408F" w14:paraId="38CFA2DA" w14:textId="77777777" w:rsidTr="008B2E1C">
        <w:trPr>
          <w:trHeight w:val="543"/>
        </w:trPr>
        <w:tc>
          <w:tcPr>
            <w:tcW w:w="6480" w:type="dxa"/>
            <w:gridSpan w:val="2"/>
            <w:hideMark/>
          </w:tcPr>
          <w:p w14:paraId="60B5C83C" w14:textId="264F4E27" w:rsidR="008B2E1C" w:rsidRPr="00F2408F" w:rsidRDefault="004E08B8" w:rsidP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 w:hint="eastAsia"/>
                <w:sz w:val="16"/>
                <w:szCs w:val="16"/>
              </w:rPr>
              <w:t>Supplementa</w:t>
            </w:r>
            <w:r w:rsidR="00224CB0" w:rsidRPr="00F2408F">
              <w:rPr>
                <w:rFonts w:ascii="Times New Roman" w:hAnsi="Times New Roman" w:cs="Times New Roman" w:hint="eastAsia"/>
                <w:sz w:val="16"/>
                <w:szCs w:val="16"/>
              </w:rPr>
              <w:t>ry</w:t>
            </w:r>
            <w:r w:rsidRPr="00F2408F"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 </w:t>
            </w:r>
            <w:r w:rsidR="008B2E1C" w:rsidRPr="00F2408F">
              <w:rPr>
                <w:rFonts w:ascii="Times New Roman" w:hAnsi="Times New Roman" w:cs="Times New Roman"/>
                <w:sz w:val="16"/>
                <w:szCs w:val="16"/>
              </w:rPr>
              <w:t xml:space="preserve">Table </w:t>
            </w:r>
            <w:r w:rsidR="00625DED" w:rsidRPr="00F2408F">
              <w:rPr>
                <w:rFonts w:ascii="Times New Roman" w:hAnsi="Times New Roman" w:cs="Times New Roman" w:hint="eastAsia"/>
                <w:sz w:val="16"/>
                <w:szCs w:val="16"/>
              </w:rPr>
              <w:t>4</w:t>
            </w:r>
            <w:r w:rsidRPr="00F2408F"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. </w:t>
            </w:r>
            <w:r w:rsidR="008B2E1C" w:rsidRPr="00F2408F">
              <w:rPr>
                <w:rFonts w:ascii="Times New Roman" w:hAnsi="Times New Roman" w:cs="Times New Roman"/>
                <w:sz w:val="16"/>
                <w:szCs w:val="16"/>
              </w:rPr>
              <w:t xml:space="preserve">Treatment-emergent adverse events (TEAEs) until week 104 of </w:t>
            </w:r>
            <w:proofErr w:type="spellStart"/>
            <w:r w:rsidR="008B2E1C" w:rsidRPr="00F2408F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="008B2E1C" w:rsidRPr="00F2408F">
              <w:rPr>
                <w:rFonts w:ascii="Times New Roman" w:hAnsi="Times New Roman" w:cs="Times New Roman"/>
                <w:sz w:val="16"/>
                <w:szCs w:val="16"/>
              </w:rPr>
              <w:t xml:space="preserve"> treatment in 132 patients with psoriasis</w:t>
            </w:r>
          </w:p>
        </w:tc>
      </w:tr>
      <w:tr w:rsidR="008B2E1C" w:rsidRPr="00F2408F" w14:paraId="73665115" w14:textId="77777777" w:rsidTr="008B2E1C">
        <w:trPr>
          <w:trHeight w:val="370"/>
        </w:trPr>
        <w:tc>
          <w:tcPr>
            <w:tcW w:w="4100" w:type="dxa"/>
            <w:noWrap/>
            <w:hideMark/>
          </w:tcPr>
          <w:p w14:paraId="10A7651B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TEAEs</w:t>
            </w:r>
          </w:p>
        </w:tc>
        <w:tc>
          <w:tcPr>
            <w:tcW w:w="2380" w:type="dxa"/>
            <w:noWrap/>
            <w:hideMark/>
          </w:tcPr>
          <w:p w14:paraId="00DE8378" w14:textId="77777777" w:rsidR="008B2E1C" w:rsidRPr="00F2408F" w:rsidRDefault="008B2E1C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n</w:t>
            </w: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 xml:space="preserve"> (%)</w:t>
            </w:r>
          </w:p>
        </w:tc>
      </w:tr>
      <w:tr w:rsidR="008B2E1C" w:rsidRPr="00F2408F" w14:paraId="7D5043B6" w14:textId="77777777" w:rsidTr="008B2E1C">
        <w:trPr>
          <w:trHeight w:val="370"/>
        </w:trPr>
        <w:tc>
          <w:tcPr>
            <w:tcW w:w="4100" w:type="dxa"/>
            <w:hideMark/>
          </w:tcPr>
          <w:p w14:paraId="37417F34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All TEAEs</w:t>
            </w:r>
          </w:p>
        </w:tc>
        <w:tc>
          <w:tcPr>
            <w:tcW w:w="2380" w:type="dxa"/>
            <w:hideMark/>
          </w:tcPr>
          <w:p w14:paraId="66B9B48C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30 (22.7)</w:t>
            </w:r>
          </w:p>
        </w:tc>
      </w:tr>
      <w:tr w:rsidR="008B2E1C" w:rsidRPr="00F2408F" w14:paraId="79681CC5" w14:textId="77777777" w:rsidTr="008B2E1C">
        <w:trPr>
          <w:trHeight w:val="370"/>
        </w:trPr>
        <w:tc>
          <w:tcPr>
            <w:tcW w:w="4100" w:type="dxa"/>
            <w:noWrap/>
            <w:hideMark/>
          </w:tcPr>
          <w:p w14:paraId="0B4289B1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Serious AEs</w:t>
            </w:r>
          </w:p>
        </w:tc>
        <w:tc>
          <w:tcPr>
            <w:tcW w:w="2380" w:type="dxa"/>
            <w:hideMark/>
          </w:tcPr>
          <w:p w14:paraId="12A9066C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</w:tr>
      <w:tr w:rsidR="008B2E1C" w:rsidRPr="00F2408F" w14:paraId="63470FAB" w14:textId="77777777" w:rsidTr="008B2E1C">
        <w:trPr>
          <w:trHeight w:val="370"/>
        </w:trPr>
        <w:tc>
          <w:tcPr>
            <w:tcW w:w="4100" w:type="dxa"/>
            <w:noWrap/>
            <w:hideMark/>
          </w:tcPr>
          <w:p w14:paraId="2A24B2F8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 xml:space="preserve">AEs leading to discontinuation of </w:t>
            </w:r>
            <w:proofErr w:type="spellStart"/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</w:p>
        </w:tc>
        <w:tc>
          <w:tcPr>
            <w:tcW w:w="2380" w:type="dxa"/>
            <w:hideMark/>
          </w:tcPr>
          <w:p w14:paraId="5CF2A23E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2 (1.5)</w:t>
            </w:r>
          </w:p>
        </w:tc>
      </w:tr>
      <w:tr w:rsidR="008B2E1C" w:rsidRPr="00F2408F" w14:paraId="39CC3A42" w14:textId="77777777" w:rsidTr="008B2E1C">
        <w:trPr>
          <w:trHeight w:val="370"/>
        </w:trPr>
        <w:tc>
          <w:tcPr>
            <w:tcW w:w="4100" w:type="dxa"/>
            <w:noWrap/>
            <w:hideMark/>
          </w:tcPr>
          <w:p w14:paraId="38310995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AEs leading to death</w:t>
            </w:r>
          </w:p>
        </w:tc>
        <w:tc>
          <w:tcPr>
            <w:tcW w:w="2380" w:type="dxa"/>
            <w:hideMark/>
          </w:tcPr>
          <w:p w14:paraId="4C4979A3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</w:tr>
      <w:tr w:rsidR="00451C8B" w:rsidRPr="00F2408F" w14:paraId="5E77D315" w14:textId="77777777" w:rsidTr="00154598">
        <w:trPr>
          <w:trHeight w:val="370"/>
        </w:trPr>
        <w:tc>
          <w:tcPr>
            <w:tcW w:w="6480" w:type="dxa"/>
            <w:gridSpan w:val="2"/>
            <w:noWrap/>
            <w:hideMark/>
          </w:tcPr>
          <w:p w14:paraId="3D5E1C7E" w14:textId="19505658" w:rsidR="00451C8B" w:rsidRPr="00F2408F" w:rsidRDefault="00451C8B" w:rsidP="00451C8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 xml:space="preserve">Individual AEs </w:t>
            </w:r>
          </w:p>
        </w:tc>
      </w:tr>
      <w:tr w:rsidR="008B2E1C" w:rsidRPr="00F2408F" w14:paraId="1630921D" w14:textId="77777777" w:rsidTr="008B2E1C">
        <w:trPr>
          <w:trHeight w:val="370"/>
        </w:trPr>
        <w:tc>
          <w:tcPr>
            <w:tcW w:w="4100" w:type="dxa"/>
            <w:noWrap/>
            <w:hideMark/>
          </w:tcPr>
          <w:p w14:paraId="35E9A725" w14:textId="77777777" w:rsidR="008B2E1C" w:rsidRPr="00F2408F" w:rsidRDefault="008B2E1C" w:rsidP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 xml:space="preserve">Upper respiratory tract infection </w:t>
            </w: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 xml:space="preserve">　</w:t>
            </w:r>
          </w:p>
        </w:tc>
        <w:tc>
          <w:tcPr>
            <w:tcW w:w="2380" w:type="dxa"/>
            <w:hideMark/>
          </w:tcPr>
          <w:p w14:paraId="5FBDFA1A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6 (4.5)</w:t>
            </w:r>
          </w:p>
        </w:tc>
      </w:tr>
      <w:tr w:rsidR="008B2E1C" w:rsidRPr="00F2408F" w14:paraId="06138C43" w14:textId="77777777" w:rsidTr="008B2E1C">
        <w:trPr>
          <w:trHeight w:val="370"/>
        </w:trPr>
        <w:tc>
          <w:tcPr>
            <w:tcW w:w="4100" w:type="dxa"/>
            <w:noWrap/>
            <w:hideMark/>
          </w:tcPr>
          <w:p w14:paraId="60620DC4" w14:textId="77777777" w:rsidR="008B2E1C" w:rsidRPr="00F2408F" w:rsidRDefault="008B2E1C" w:rsidP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Herpes zoster</w:t>
            </w: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 xml:space="preserve">　</w:t>
            </w:r>
          </w:p>
        </w:tc>
        <w:tc>
          <w:tcPr>
            <w:tcW w:w="2380" w:type="dxa"/>
            <w:hideMark/>
          </w:tcPr>
          <w:p w14:paraId="2CB710FD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1 (0.8)</w:t>
            </w:r>
          </w:p>
        </w:tc>
      </w:tr>
      <w:tr w:rsidR="008B2E1C" w:rsidRPr="00F2408F" w14:paraId="3D6DCA13" w14:textId="77777777" w:rsidTr="008B2E1C">
        <w:trPr>
          <w:trHeight w:val="370"/>
        </w:trPr>
        <w:tc>
          <w:tcPr>
            <w:tcW w:w="4100" w:type="dxa"/>
            <w:noWrap/>
            <w:hideMark/>
          </w:tcPr>
          <w:p w14:paraId="36F88B5B" w14:textId="77777777" w:rsidR="008B2E1C" w:rsidRPr="00F2408F" w:rsidRDefault="008B2E1C" w:rsidP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 xml:space="preserve">Herpes simplex </w:t>
            </w:r>
          </w:p>
        </w:tc>
        <w:tc>
          <w:tcPr>
            <w:tcW w:w="2380" w:type="dxa"/>
            <w:hideMark/>
          </w:tcPr>
          <w:p w14:paraId="7806F18E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1 (0.8)</w:t>
            </w:r>
          </w:p>
        </w:tc>
      </w:tr>
      <w:tr w:rsidR="008B2E1C" w:rsidRPr="00F2408F" w14:paraId="5A6D668C" w14:textId="77777777" w:rsidTr="008B2E1C">
        <w:trPr>
          <w:trHeight w:val="370"/>
        </w:trPr>
        <w:tc>
          <w:tcPr>
            <w:tcW w:w="4100" w:type="dxa"/>
            <w:noWrap/>
            <w:hideMark/>
          </w:tcPr>
          <w:p w14:paraId="37EE0D8D" w14:textId="77777777" w:rsidR="008B2E1C" w:rsidRPr="00F2408F" w:rsidRDefault="008B2E1C" w:rsidP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COVID-19</w:t>
            </w:r>
          </w:p>
        </w:tc>
        <w:tc>
          <w:tcPr>
            <w:tcW w:w="2380" w:type="dxa"/>
            <w:hideMark/>
          </w:tcPr>
          <w:p w14:paraId="428A9B1C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2 (1.5)</w:t>
            </w:r>
          </w:p>
        </w:tc>
      </w:tr>
      <w:tr w:rsidR="008B2E1C" w:rsidRPr="00F2408F" w14:paraId="2CCB99E3" w14:textId="77777777" w:rsidTr="008B2E1C">
        <w:trPr>
          <w:trHeight w:val="370"/>
        </w:trPr>
        <w:tc>
          <w:tcPr>
            <w:tcW w:w="4100" w:type="dxa"/>
            <w:noWrap/>
            <w:hideMark/>
          </w:tcPr>
          <w:p w14:paraId="3203FFD9" w14:textId="77777777" w:rsidR="008B2E1C" w:rsidRPr="00F2408F" w:rsidRDefault="008B2E1C" w:rsidP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Folliculitis</w:t>
            </w:r>
          </w:p>
        </w:tc>
        <w:tc>
          <w:tcPr>
            <w:tcW w:w="2380" w:type="dxa"/>
            <w:hideMark/>
          </w:tcPr>
          <w:p w14:paraId="5E7AEC64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7 (5.3)</w:t>
            </w:r>
          </w:p>
        </w:tc>
      </w:tr>
      <w:tr w:rsidR="008B2E1C" w:rsidRPr="00F2408F" w14:paraId="117DF354" w14:textId="77777777" w:rsidTr="008B2E1C">
        <w:trPr>
          <w:trHeight w:val="370"/>
        </w:trPr>
        <w:tc>
          <w:tcPr>
            <w:tcW w:w="4100" w:type="dxa"/>
            <w:noWrap/>
            <w:hideMark/>
          </w:tcPr>
          <w:p w14:paraId="19DB5FFA" w14:textId="77777777" w:rsidR="008B2E1C" w:rsidRPr="00F2408F" w:rsidRDefault="008B2E1C" w:rsidP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Cellulitis</w:t>
            </w:r>
          </w:p>
        </w:tc>
        <w:tc>
          <w:tcPr>
            <w:tcW w:w="2380" w:type="dxa"/>
            <w:hideMark/>
          </w:tcPr>
          <w:p w14:paraId="0FFDAA61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2 (1.5)</w:t>
            </w:r>
          </w:p>
        </w:tc>
      </w:tr>
      <w:tr w:rsidR="008B2E1C" w:rsidRPr="00F2408F" w14:paraId="2C278E5B" w14:textId="77777777" w:rsidTr="008B2E1C">
        <w:trPr>
          <w:trHeight w:val="370"/>
        </w:trPr>
        <w:tc>
          <w:tcPr>
            <w:tcW w:w="4100" w:type="dxa"/>
            <w:noWrap/>
            <w:hideMark/>
          </w:tcPr>
          <w:p w14:paraId="27EC97D0" w14:textId="77777777" w:rsidR="008B2E1C" w:rsidRPr="00F2408F" w:rsidRDefault="008B2E1C" w:rsidP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Noninfectious stomatitis</w:t>
            </w:r>
          </w:p>
        </w:tc>
        <w:tc>
          <w:tcPr>
            <w:tcW w:w="2380" w:type="dxa"/>
            <w:noWrap/>
            <w:hideMark/>
          </w:tcPr>
          <w:p w14:paraId="3A88C62D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4 (3.0)</w:t>
            </w:r>
          </w:p>
        </w:tc>
      </w:tr>
      <w:tr w:rsidR="008B2E1C" w:rsidRPr="00F2408F" w14:paraId="54D680A3" w14:textId="77777777" w:rsidTr="008B2E1C">
        <w:trPr>
          <w:trHeight w:val="370"/>
        </w:trPr>
        <w:tc>
          <w:tcPr>
            <w:tcW w:w="4100" w:type="dxa"/>
            <w:noWrap/>
            <w:hideMark/>
          </w:tcPr>
          <w:p w14:paraId="048D0304" w14:textId="77777777" w:rsidR="008B2E1C" w:rsidRPr="00F2408F" w:rsidRDefault="008B2E1C" w:rsidP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Exacerbation of psoriatic arthritis</w:t>
            </w:r>
          </w:p>
        </w:tc>
        <w:tc>
          <w:tcPr>
            <w:tcW w:w="2380" w:type="dxa"/>
            <w:hideMark/>
          </w:tcPr>
          <w:p w14:paraId="30B96EA5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1 (0.8)</w:t>
            </w:r>
          </w:p>
        </w:tc>
      </w:tr>
      <w:tr w:rsidR="008B2E1C" w:rsidRPr="00F2408F" w14:paraId="777BF3C4" w14:textId="77777777" w:rsidTr="008B2E1C">
        <w:trPr>
          <w:trHeight w:val="370"/>
        </w:trPr>
        <w:tc>
          <w:tcPr>
            <w:tcW w:w="4100" w:type="dxa"/>
            <w:noWrap/>
            <w:hideMark/>
          </w:tcPr>
          <w:p w14:paraId="4411DF1B" w14:textId="77777777" w:rsidR="008B2E1C" w:rsidRPr="00F2408F" w:rsidRDefault="008B2E1C" w:rsidP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Pruritus</w:t>
            </w:r>
          </w:p>
        </w:tc>
        <w:tc>
          <w:tcPr>
            <w:tcW w:w="2380" w:type="dxa"/>
            <w:hideMark/>
          </w:tcPr>
          <w:p w14:paraId="7CA8EC3E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3 (2.3)</w:t>
            </w:r>
          </w:p>
        </w:tc>
      </w:tr>
      <w:tr w:rsidR="008B2E1C" w:rsidRPr="00F2408F" w14:paraId="6E4D1D95" w14:textId="77777777" w:rsidTr="008B2E1C">
        <w:trPr>
          <w:trHeight w:val="370"/>
        </w:trPr>
        <w:tc>
          <w:tcPr>
            <w:tcW w:w="4100" w:type="dxa"/>
            <w:noWrap/>
            <w:hideMark/>
          </w:tcPr>
          <w:p w14:paraId="6943A01C" w14:textId="77777777" w:rsidR="008B2E1C" w:rsidRPr="00F2408F" w:rsidRDefault="008B2E1C" w:rsidP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Elevation of creatine phosphokinase</w:t>
            </w:r>
          </w:p>
        </w:tc>
        <w:tc>
          <w:tcPr>
            <w:tcW w:w="2380" w:type="dxa"/>
            <w:hideMark/>
          </w:tcPr>
          <w:p w14:paraId="62624064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3 (2.3)</w:t>
            </w:r>
          </w:p>
        </w:tc>
      </w:tr>
      <w:tr w:rsidR="008B2E1C" w:rsidRPr="008B2E1C" w14:paraId="6008A6E2" w14:textId="77777777" w:rsidTr="008B2E1C">
        <w:trPr>
          <w:trHeight w:val="370"/>
        </w:trPr>
        <w:tc>
          <w:tcPr>
            <w:tcW w:w="6480" w:type="dxa"/>
            <w:gridSpan w:val="2"/>
            <w:noWrap/>
            <w:hideMark/>
          </w:tcPr>
          <w:p w14:paraId="700A429B" w14:textId="77777777" w:rsidR="008B2E1C" w:rsidRPr="00F2408F" w:rsidRDefault="008B2E1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AE, adverse event.</w:t>
            </w:r>
          </w:p>
          <w:p w14:paraId="1F74D47E" w14:textId="6D1DF877" w:rsidR="00A9524B" w:rsidRPr="008B2E1C" w:rsidRDefault="00A9524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08F">
              <w:rPr>
                <w:rFonts w:ascii="Times New Roman" w:hAnsi="Times New Roman" w:cs="Times New Roman"/>
                <w:sz w:val="16"/>
                <w:szCs w:val="16"/>
              </w:rPr>
              <w:t xml:space="preserve">Two patients discontinued </w:t>
            </w:r>
            <w:proofErr w:type="spellStart"/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deucravacitinib</w:t>
            </w:r>
            <w:proofErr w:type="spellEnd"/>
            <w:r w:rsidRPr="00F2408F">
              <w:rPr>
                <w:rFonts w:ascii="Times New Roman" w:hAnsi="Times New Roman" w:cs="Times New Roman"/>
                <w:sz w:val="16"/>
                <w:szCs w:val="16"/>
              </w:rPr>
              <w:t xml:space="preserve"> treatment because of AEs, exacerbation of PsA and pruritus, both of which were resolved by switching to </w:t>
            </w:r>
            <w:proofErr w:type="spellStart"/>
            <w:r w:rsidRPr="00F2408F">
              <w:rPr>
                <w:rFonts w:ascii="Times New Roman" w:hAnsi="Times New Roman" w:cs="Times New Roman"/>
                <w:sz w:val="16"/>
                <w:szCs w:val="16"/>
              </w:rPr>
              <w:t>bimekizumab</w:t>
            </w:r>
            <w:proofErr w:type="spellEnd"/>
            <w:r w:rsidRPr="00F2408F">
              <w:rPr>
                <w:rFonts w:ascii="Times New Roman" w:hAnsi="Times New Roman" w:cs="Times New Roman"/>
                <w:sz w:val="16"/>
                <w:szCs w:val="16"/>
              </w:rPr>
              <w:t xml:space="preserve"> in the former and upadacitinib 15 mg in the latter.</w:t>
            </w:r>
          </w:p>
        </w:tc>
      </w:tr>
    </w:tbl>
    <w:p w14:paraId="734CA0A8" w14:textId="77777777" w:rsidR="008B2E1C" w:rsidRPr="008B2E1C" w:rsidRDefault="008B2E1C">
      <w:pPr>
        <w:rPr>
          <w:rFonts w:ascii="Times New Roman" w:hAnsi="Times New Roman" w:cs="Times New Roman"/>
          <w:sz w:val="16"/>
          <w:szCs w:val="16"/>
        </w:rPr>
      </w:pPr>
    </w:p>
    <w:sectPr w:rsidR="008B2E1C" w:rsidRPr="008B2E1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8DDB0" w14:textId="77777777" w:rsidR="000E620E" w:rsidRDefault="000E620E" w:rsidP="00A9524B">
      <w:r>
        <w:separator/>
      </w:r>
    </w:p>
  </w:endnote>
  <w:endnote w:type="continuationSeparator" w:id="0">
    <w:p w14:paraId="4FEE9159" w14:textId="77777777" w:rsidR="000E620E" w:rsidRDefault="000E620E" w:rsidP="00A95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0DA78" w14:textId="77777777" w:rsidR="000E620E" w:rsidRDefault="000E620E" w:rsidP="00A9524B">
      <w:r>
        <w:separator/>
      </w:r>
    </w:p>
  </w:footnote>
  <w:footnote w:type="continuationSeparator" w:id="0">
    <w:p w14:paraId="13DA3D3F" w14:textId="77777777" w:rsidR="000E620E" w:rsidRDefault="000E620E" w:rsidP="00A952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1C"/>
    <w:rsid w:val="000E3D2B"/>
    <w:rsid w:val="000E620E"/>
    <w:rsid w:val="00224CB0"/>
    <w:rsid w:val="002D53D3"/>
    <w:rsid w:val="003269CF"/>
    <w:rsid w:val="003673B9"/>
    <w:rsid w:val="00451C8B"/>
    <w:rsid w:val="004E08B8"/>
    <w:rsid w:val="00625DED"/>
    <w:rsid w:val="006509E7"/>
    <w:rsid w:val="00683141"/>
    <w:rsid w:val="007C7433"/>
    <w:rsid w:val="008B2E1C"/>
    <w:rsid w:val="008D410B"/>
    <w:rsid w:val="00954D2C"/>
    <w:rsid w:val="00A9524B"/>
    <w:rsid w:val="00B71040"/>
    <w:rsid w:val="00DE78FC"/>
    <w:rsid w:val="00E6503E"/>
    <w:rsid w:val="00F2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3373BC4"/>
  <w15:chartTrackingRefBased/>
  <w15:docId w15:val="{411D7A9A-E149-472B-8215-73CCC899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2E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E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E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E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E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E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E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E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B2E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B2E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B2E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B2E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B2E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B2E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B2E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B2E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B2E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B2E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B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E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B2E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E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B2E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E1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B2E1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B2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B2E1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B2E1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B2E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Revision"/>
    <w:hidden/>
    <w:uiPriority w:val="99"/>
    <w:semiHidden/>
    <w:rsid w:val="004E08B8"/>
  </w:style>
  <w:style w:type="paragraph" w:styleId="ac">
    <w:name w:val="header"/>
    <w:basedOn w:val="a"/>
    <w:link w:val="ad"/>
    <w:uiPriority w:val="99"/>
    <w:unhideWhenUsed/>
    <w:rsid w:val="00A9524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A9524B"/>
  </w:style>
  <w:style w:type="paragraph" w:styleId="ae">
    <w:name w:val="footer"/>
    <w:basedOn w:val="a"/>
    <w:link w:val="af"/>
    <w:uiPriority w:val="99"/>
    <w:unhideWhenUsed/>
    <w:rsid w:val="00A9524B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A95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H</dc:creator>
  <cp:keywords/>
  <dc:description/>
  <cp:lastModifiedBy>T H</cp:lastModifiedBy>
  <cp:revision>7</cp:revision>
  <dcterms:created xsi:type="dcterms:W3CDTF">2025-12-11T10:11:00Z</dcterms:created>
  <dcterms:modified xsi:type="dcterms:W3CDTF">2026-02-26T15:50:00Z</dcterms:modified>
</cp:coreProperties>
</file>