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rPr>
          <w:rFonts w:ascii="Aptos" w:hAnsi="Aptos"/>
          <w:b/>
          <w:color w:val="123040"/>
          <w:sz w:val="48"/>
        </w:rPr>
        <w:t>Gabriel Wu</w:t>
      </w:r>
    </w:p>
    <w:p>
      <w:pPr>
        <w:spacing w:after="160"/>
      </w:pPr>
      <w:r>
        <w:rPr>
          <w:rFonts w:ascii="Aptos" w:hAnsi="Aptos"/>
          <w:b w:val="0"/>
          <w:color w:val="4C565E"/>
          <w:sz w:val="18"/>
        </w:rPr>
        <w:t>Singapore  |  (+65) 9228 6005  |  twotwozero2@gmail.com  |  LinkedIn  |  2202labs.github.io</w:t>
      </w:r>
    </w:p>
    <w:p>
      <w:pPr>
        <w:pStyle w:val="Heading1"/>
        <w:keepNext/>
      </w:pPr>
      <w:r>
        <w:t>Professional Summary</w:t>
      </w:r>
    </w:p>
    <w:p>
      <w:pPr>
        <w:spacing w:after="100"/>
      </w:pPr>
      <w:r>
        <w:rPr>
          <w:rFonts w:ascii="Aptos" w:hAnsi="Aptos"/>
          <w:b w:val="0"/>
        </w:rPr>
        <w:t>Infrastructure and observability engineer with 16+ years of IT experience across school ICT support and enterprise infrastructure operations. Currently supports multiple government project teams through Splunk platform governance, log onboarding and lifecycle management, dashboards and reporting, ingestion and search troubleshooting, and Python/Bash automation. Brings strong enterprise infrastructure and logging foundations with a focused progression toward observability, platform reliability and site reliability engineering.</w:t>
      </w:r>
    </w:p>
    <w:p>
      <w:pPr>
        <w:pStyle w:val="Heading1"/>
        <w:keepNext/>
      </w:pPr>
      <w:r>
        <w:t>Core Skills</w:t>
      </w:r>
    </w:p>
    <w:p>
      <w:pPr>
        <w:pStyle w:val="ListBullet"/>
      </w:pPr>
      <w:r>
        <w:rPr>
          <w:rFonts w:ascii="Aptos" w:hAnsi="Aptos"/>
          <w:b/>
        </w:rPr>
        <w:t xml:space="preserve">Observability &amp; Logging: </w:t>
      </w:r>
      <w:r>
        <w:rPr>
          <w:rFonts w:ascii="Aptos" w:hAnsi="Aptos"/>
          <w:b w:val="0"/>
        </w:rPr>
        <w:t>Splunk Enterprise administration, log onboarding &amp; retention, security logging use cases, log analysis &amp; troubleshooting, dashboards &amp; scheduled reporting</w:t>
      </w:r>
    </w:p>
    <w:p>
      <w:pPr>
        <w:pStyle w:val="ListBullet"/>
      </w:pPr>
      <w:r>
        <w:rPr>
          <w:rFonts w:ascii="Aptos" w:hAnsi="Aptos"/>
          <w:b/>
        </w:rPr>
        <w:t xml:space="preserve">Infrastructure: </w:t>
      </w:r>
      <w:r>
        <w:rPr>
          <w:rFonts w:ascii="Aptos" w:hAnsi="Aptos"/>
          <w:b w:val="0"/>
        </w:rPr>
        <w:t>Red Hat Enterprise Linux (RHEL), Windows Server, Hyper-V, Nutanix, patching &amp; vulnerability remediation, disaster recovery &amp; system hardening</w:t>
      </w:r>
    </w:p>
    <w:p>
      <w:pPr>
        <w:pStyle w:val="ListBullet"/>
      </w:pPr>
      <w:r>
        <w:rPr>
          <w:rFonts w:ascii="Aptos" w:hAnsi="Aptos"/>
          <w:b/>
        </w:rPr>
        <w:t xml:space="preserve">Automation &amp; Data: </w:t>
      </w:r>
      <w:r>
        <w:rPr>
          <w:rFonts w:ascii="Aptos" w:hAnsi="Aptos"/>
          <w:b w:val="0"/>
        </w:rPr>
        <w:t>Python, Bash, operational automation, data lifecycle management, reporting automation</w:t>
      </w:r>
    </w:p>
    <w:p>
      <w:pPr>
        <w:pStyle w:val="ListBullet"/>
      </w:pPr>
      <w:r>
        <w:rPr>
          <w:rFonts w:ascii="Aptos" w:hAnsi="Aptos"/>
          <w:b/>
        </w:rPr>
        <w:t xml:space="preserve">Reliability &amp; Operations: </w:t>
      </w:r>
      <w:r>
        <w:rPr>
          <w:rFonts w:ascii="Aptos" w:hAnsi="Aptos"/>
          <w:b w:val="0"/>
        </w:rPr>
        <w:t>Production troubleshooting, root-cause analysis, monitoring, platform health, incident support, capacity support</w:t>
      </w:r>
    </w:p>
    <w:p>
      <w:pPr>
        <w:pStyle w:val="ListBullet"/>
      </w:pPr>
      <w:r>
        <w:rPr>
          <w:rFonts w:ascii="Aptos" w:hAnsi="Aptos"/>
          <w:b/>
        </w:rPr>
        <w:t xml:space="preserve">Delivery: </w:t>
      </w:r>
      <w:r>
        <w:rPr>
          <w:rFonts w:ascii="Aptos" w:hAnsi="Aptos"/>
          <w:b w:val="0"/>
        </w:rPr>
        <w:t>Stakeholder collaboration, technical documentation, cross-team operational support, regulated government environments</w:t>
      </w:r>
    </w:p>
    <w:p>
      <w:pPr>
        <w:pStyle w:val="Heading1"/>
        <w:keepNext/>
      </w:pPr>
      <w:r>
        <w:t>Experience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0" w:type="dxa"/>
          <w:start w:w="0" w:type="dxa"/>
          <w:bottom w:w="0" w:type="dxa"/>
          <w:end w:w="0" w:type="dxa"/>
        </w:tblCellMar>
      </w:tblPr>
      <w:tblGrid>
        <w:gridCol w:w="7272"/>
        <w:gridCol w:w="1944"/>
      </w:tblGrid>
      <w:tr>
        <w:tc>
          <w:tcPr>
            <w:tcW w:type="dxa" w:w="7272"/>
            <w:vAlign w:val="center"/>
          </w:tcPr>
          <w:p>
            <w:pPr>
              <w:keepNext/>
              <w:spacing w:before="40" w:after="0"/>
            </w:pPr>
            <w:r>
              <w:rPr>
                <w:rFonts w:ascii="Aptos" w:hAnsi="Aptos"/>
                <w:b/>
                <w:sz w:val="18"/>
              </w:rPr>
              <w:t>NCS Pte Ltd</w:t>
            </w:r>
          </w:p>
        </w:tc>
        <w:tc>
          <w:tcPr>
            <w:tcW w:type="dxa" w:w="1944"/>
            <w:vAlign w:val="center"/>
          </w:tcPr>
          <w:p>
            <w:pPr>
              <w:keepNext/>
              <w:spacing w:before="40" w:after="0"/>
              <w:jc w:val="right"/>
            </w:pPr>
            <w:r>
              <w:rPr>
                <w:rFonts w:ascii="Aptos" w:hAnsi="Aptos"/>
                <w:b w:val="0"/>
                <w:color w:val="4C565E"/>
                <w:sz w:val="18"/>
              </w:rPr>
              <w:t>Sep 2022 - Present</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0" w:type="dxa"/>
          <w:start w:w="0" w:type="dxa"/>
          <w:bottom w:w="0" w:type="dxa"/>
          <w:end w:w="0" w:type="dxa"/>
        </w:tblCellMar>
      </w:tblPr>
      <w:tblGrid>
        <w:gridCol w:w="7272"/>
        <w:gridCol w:w="1944"/>
      </w:tblGrid>
      <w:tr>
        <w:tc>
          <w:tcPr>
            <w:tcW w:type="dxa" w:w="7272"/>
            <w:vAlign w:val="center"/>
          </w:tcPr>
          <w:p>
            <w:pPr>
              <w:keepNext/>
              <w:spacing w:before="0" w:after="20"/>
            </w:pPr>
            <w:r>
              <w:rPr>
                <w:rFonts w:ascii="Aptos" w:hAnsi="Aptos"/>
                <w:b/>
                <w:sz w:val="18"/>
              </w:rPr>
              <w:t>Cybersecurity / Splunk Engineer (Seconded to DSTA client site)</w:t>
            </w:r>
          </w:p>
        </w:tc>
        <w:tc>
          <w:tcPr>
            <w:tcW w:type="dxa" w:w="1944"/>
            <w:vAlign w:val="center"/>
          </w:tcPr>
          <w:p>
            <w:pPr>
              <w:keepNext/>
              <w:spacing w:before="0" w:after="20"/>
              <w:jc w:val="right"/>
            </w:pPr>
            <w:r>
              <w:rPr>
                <w:rFonts w:ascii="Aptos" w:hAnsi="Aptos"/>
                <w:b w:val="0"/>
                <w:color w:val="4C565E"/>
                <w:sz w:val="18"/>
              </w:rPr>
              <w:t>Singapore</w:t>
            </w:r>
          </w:p>
        </w:tc>
      </w:tr>
    </w:tbl>
    <w:p>
      <w:pPr>
        <w:pStyle w:val="ListBullet"/>
        <w:keepNext/>
      </w:pPr>
      <w:r>
        <w:rPr>
          <w:rFonts w:ascii="Aptos" w:hAnsi="Aptos"/>
          <w:b w:val="0"/>
        </w:rPr>
        <w:t>Seconded to DSTA as an NCS client resource; rotated across Cybersecurity and Infrastructure teams while maintaining a consistent Splunk engineering, security logging and platform-operations scope.</w:t>
      </w:r>
    </w:p>
    <w:p>
      <w:pPr>
        <w:pStyle w:val="ListBullet"/>
        <w:keepNext/>
      </w:pPr>
      <w:r>
        <w:rPr>
          <w:rFonts w:ascii="Aptos" w:hAnsi="Aptos"/>
          <w:b w:val="0"/>
        </w:rPr>
        <w:t>Govern Splunk Enterprise logging and platform operations for multiple government project teams, supporting platform stability, security visibility and audit readiness.</w:t>
      </w:r>
    </w:p>
    <w:p>
      <w:pPr>
        <w:pStyle w:val="ListBullet"/>
        <w:keepNext/>
      </w:pPr>
      <w:r>
        <w:rPr>
          <w:rFonts w:ascii="Aptos" w:hAnsi="Aptos"/>
          <w:b w:val="0"/>
        </w:rPr>
        <w:t>Implemented 6 security logging use cases and standardised dashboards and reports to strengthen operational visibility and support security reviews and compliance audits.</w:t>
      </w:r>
    </w:p>
    <w:p>
      <w:pPr>
        <w:pStyle w:val="ListBullet"/>
        <w:keepNext/>
      </w:pPr>
      <w:r>
        <w:rPr>
          <w:rFonts w:ascii="Aptos" w:hAnsi="Aptos"/>
          <w:b w:val="0"/>
        </w:rPr>
        <w:t>Deliver end-to-end log onboarding and lifecycle management aligned to ingestion, retention, search and reporting requirements.</w:t>
      </w:r>
    </w:p>
    <w:p>
      <w:pPr>
        <w:pStyle w:val="ListBullet"/>
        <w:keepNext/>
      </w:pPr>
      <w:r>
        <w:rPr>
          <w:rFonts w:ascii="Aptos" w:hAnsi="Aptos"/>
          <w:b w:val="0"/>
        </w:rPr>
        <w:t>Collaborate with stakeholders to define logging requirements and troubleshoot ingestion, search and platform issues using log evidence and infrastructure context.</w:t>
      </w:r>
    </w:p>
    <w:p>
      <w:pPr>
        <w:pStyle w:val="ListBullet"/>
        <w:keepNext/>
      </w:pPr>
      <w:r>
        <w:rPr>
          <w:rFonts w:ascii="Aptos" w:hAnsi="Aptos"/>
          <w:b w:val="0"/>
        </w:rPr>
        <w:t>Automate recurring compliance checks and data-management tasks using Python and Bash, reducing manual operational effort and turnaround time.</w:t>
      </w:r>
    </w:p>
    <w:p>
      <w:pPr>
        <w:pStyle w:val="ListBullet"/>
        <w:keepNext w:val="0"/>
      </w:pPr>
      <w:r>
        <w:rPr>
          <w:rFonts w:ascii="Aptos" w:hAnsi="Aptos"/>
          <w:b w:val="0"/>
        </w:rPr>
        <w:t>Maintain Splunk components and underlying RHEL servers through patching, vulnerability assessment and remediation, and system hardening.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0" w:type="dxa"/>
          <w:start w:w="0" w:type="dxa"/>
          <w:bottom w:w="0" w:type="dxa"/>
          <w:end w:w="0" w:type="dxa"/>
        </w:tblCellMar>
      </w:tblPr>
      <w:tblGrid>
        <w:gridCol w:w="7272"/>
        <w:gridCol w:w="1944"/>
      </w:tblGrid>
      <w:tr>
        <w:tc>
          <w:tcPr>
            <w:tcW w:type="dxa" w:w="7272"/>
            <w:vAlign w:val="center"/>
          </w:tcPr>
          <w:p>
            <w:pPr>
              <w:keepNext/>
              <w:spacing w:before="40" w:after="0"/>
            </w:pPr>
            <w:r>
              <w:rPr>
                <w:rFonts w:ascii="Aptos" w:hAnsi="Aptos"/>
                <w:b/>
                <w:sz w:val="18"/>
              </w:rPr>
              <w:t>NCS Pte Ltd</w:t>
            </w:r>
          </w:p>
        </w:tc>
        <w:tc>
          <w:tcPr>
            <w:tcW w:type="dxa" w:w="1944"/>
            <w:vAlign w:val="center"/>
          </w:tcPr>
          <w:p>
            <w:pPr>
              <w:keepNext/>
              <w:spacing w:before="40" w:after="0"/>
              <w:jc w:val="right"/>
            </w:pPr>
            <w:r>
              <w:rPr>
                <w:rFonts w:ascii="Aptos" w:hAnsi="Aptos"/>
                <w:b w:val="0"/>
                <w:color w:val="4C565E"/>
                <w:sz w:val="18"/>
              </w:rPr>
              <w:t>Nov 2018 - Aug 2022</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0" w:type="dxa"/>
          <w:start w:w="0" w:type="dxa"/>
          <w:bottom w:w="0" w:type="dxa"/>
          <w:end w:w="0" w:type="dxa"/>
        </w:tblCellMar>
      </w:tblPr>
      <w:tblGrid>
        <w:gridCol w:w="7272"/>
        <w:gridCol w:w="1944"/>
      </w:tblGrid>
      <w:tr>
        <w:tc>
          <w:tcPr>
            <w:tcW w:type="dxa" w:w="7272"/>
            <w:vAlign w:val="center"/>
          </w:tcPr>
          <w:p>
            <w:pPr>
              <w:keepNext/>
              <w:spacing w:before="0" w:after="20"/>
            </w:pPr>
            <w:r>
              <w:rPr>
                <w:rFonts w:ascii="Aptos" w:hAnsi="Aptos"/>
                <w:b/>
                <w:sz w:val="18"/>
              </w:rPr>
              <w:t>Wintel Engineer</w:t>
            </w:r>
          </w:p>
        </w:tc>
        <w:tc>
          <w:tcPr>
            <w:tcW w:type="dxa" w:w="1944"/>
            <w:vAlign w:val="center"/>
          </w:tcPr>
          <w:p>
            <w:pPr>
              <w:keepNext/>
              <w:spacing w:before="0" w:after="20"/>
              <w:jc w:val="right"/>
            </w:pPr>
            <w:r>
              <w:rPr>
                <w:rFonts w:ascii="Aptos" w:hAnsi="Aptos"/>
                <w:b w:val="0"/>
                <w:color w:val="4C565E"/>
                <w:sz w:val="18"/>
              </w:rPr>
              <w:t>Singapore</w:t>
            </w:r>
          </w:p>
        </w:tc>
      </w:tr>
    </w:tbl>
    <w:p>
      <w:pPr>
        <w:pStyle w:val="ListBullet"/>
        <w:keepNext/>
      </w:pPr>
      <w:r>
        <w:rPr>
          <w:rFonts w:ascii="Aptos" w:hAnsi="Aptos"/>
          <w:b w:val="0"/>
        </w:rPr>
        <w:t>Administered Windows Server, Hyper-V and Nutanix environments to meet enterprise availability, security and performance requirements.</w:t>
      </w:r>
    </w:p>
    <w:p>
      <w:pPr>
        <w:pStyle w:val="ListBullet"/>
        <w:keepNext/>
      </w:pPr>
      <w:r>
        <w:rPr>
          <w:rFonts w:ascii="Aptos" w:hAnsi="Aptos"/>
          <w:b w:val="0"/>
        </w:rPr>
        <w:t>Executed patching and vulnerability-remediation programmes and supported disaster-recovery planning and testing to strengthen infrastructure resilience.</w:t>
      </w:r>
    </w:p>
    <w:p>
      <w:pPr>
        <w:pStyle w:val="ListBullet"/>
        <w:keepNext w:val="0"/>
      </w:pPr>
      <w:r>
        <w:rPr>
          <w:rFonts w:ascii="Aptos" w:hAnsi="Aptos"/>
          <w:b w:val="0"/>
        </w:rPr>
        <w:t>Monitored server health, diagnosed infrastructure issues and delivered capacity upgrades to support evolving project demands.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0" w:type="dxa"/>
          <w:start w:w="0" w:type="dxa"/>
          <w:bottom w:w="0" w:type="dxa"/>
          <w:end w:w="0" w:type="dxa"/>
        </w:tblCellMar>
      </w:tblPr>
      <w:tblGrid>
        <w:gridCol w:w="7272"/>
        <w:gridCol w:w="1944"/>
      </w:tblGrid>
      <w:tr>
        <w:tc>
          <w:tcPr>
            <w:tcW w:type="dxa" w:w="7272"/>
            <w:vAlign w:val="center"/>
          </w:tcPr>
          <w:p>
            <w:pPr>
              <w:keepNext/>
              <w:spacing w:before="40" w:after="0"/>
            </w:pPr>
            <w:r>
              <w:rPr>
                <w:rFonts w:ascii="Aptos" w:hAnsi="Aptos"/>
                <w:b/>
                <w:sz w:val="18"/>
              </w:rPr>
              <w:t>ST Electronics (Info-comm Systems) Pte Ltd</w:t>
            </w:r>
          </w:p>
        </w:tc>
        <w:tc>
          <w:tcPr>
            <w:tcW w:type="dxa" w:w="1944"/>
            <w:vAlign w:val="center"/>
          </w:tcPr>
          <w:p>
            <w:pPr>
              <w:keepNext/>
              <w:spacing w:before="40" w:after="0"/>
              <w:jc w:val="right"/>
            </w:pPr>
            <w:r>
              <w:rPr>
                <w:rFonts w:ascii="Aptos" w:hAnsi="Aptos"/>
                <w:b w:val="0"/>
                <w:color w:val="4C565E"/>
                <w:sz w:val="18"/>
              </w:rPr>
              <w:t>May 2016 - Oct 2018</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0" w:type="dxa"/>
          <w:start w:w="0" w:type="dxa"/>
          <w:bottom w:w="0" w:type="dxa"/>
          <w:end w:w="0" w:type="dxa"/>
        </w:tblCellMar>
      </w:tblPr>
      <w:tblGrid>
        <w:gridCol w:w="7272"/>
        <w:gridCol w:w="1944"/>
      </w:tblGrid>
      <w:tr>
        <w:tc>
          <w:tcPr>
            <w:tcW w:type="dxa" w:w="7272"/>
            <w:vAlign w:val="center"/>
          </w:tcPr>
          <w:p>
            <w:pPr>
              <w:keepNext/>
              <w:spacing w:before="0" w:after="20"/>
            </w:pPr>
            <w:r>
              <w:rPr>
                <w:rFonts w:ascii="Aptos" w:hAnsi="Aptos"/>
                <w:b/>
                <w:sz w:val="18"/>
              </w:rPr>
              <w:t>Systems Engineer</w:t>
            </w:r>
          </w:p>
        </w:tc>
        <w:tc>
          <w:tcPr>
            <w:tcW w:type="dxa" w:w="1944"/>
            <w:vAlign w:val="center"/>
          </w:tcPr>
          <w:p>
            <w:pPr>
              <w:keepNext/>
              <w:spacing w:before="0" w:after="20"/>
              <w:jc w:val="right"/>
            </w:pPr>
            <w:r>
              <w:rPr>
                <w:rFonts w:ascii="Aptos" w:hAnsi="Aptos"/>
                <w:b w:val="0"/>
                <w:color w:val="4C565E"/>
                <w:sz w:val="18"/>
              </w:rPr>
              <w:t>Singapore</w:t>
            </w:r>
          </w:p>
        </w:tc>
      </w:tr>
    </w:tbl>
    <w:p>
      <w:pPr>
        <w:pStyle w:val="ListBullet"/>
        <w:keepNext/>
      </w:pPr>
      <w:r>
        <w:rPr>
          <w:rFonts w:ascii="Aptos" w:hAnsi="Aptos"/>
          <w:b w:val="0"/>
        </w:rPr>
        <w:t>Delivered L1/L2 infrastructure and network support across server administration, patching, monitoring and operational reporting.</w:t>
      </w:r>
    </w:p>
    <w:p>
      <w:pPr>
        <w:pStyle w:val="ListBullet"/>
        <w:keepNext w:val="0"/>
      </w:pPr>
      <w:r>
        <w:rPr>
          <w:rFonts w:ascii="Aptos" w:hAnsi="Aptos"/>
          <w:b w:val="0"/>
        </w:rPr>
        <w:t>Performed troubleshooting and root-cause analysis across hardware, software and network/security components to restore service and support stable operations.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0" w:type="dxa"/>
          <w:start w:w="0" w:type="dxa"/>
          <w:bottom w:w="0" w:type="dxa"/>
          <w:end w:w="0" w:type="dxa"/>
        </w:tblCellMar>
      </w:tblPr>
      <w:tblGrid>
        <w:gridCol w:w="7272"/>
        <w:gridCol w:w="1944"/>
      </w:tblGrid>
      <w:tr>
        <w:tc>
          <w:tcPr>
            <w:tcW w:type="dxa" w:w="7272"/>
            <w:vAlign w:val="center"/>
          </w:tcPr>
          <w:p>
            <w:pPr>
              <w:keepNext/>
              <w:spacing w:before="40" w:after="0"/>
            </w:pPr>
            <w:r>
              <w:rPr>
                <w:rFonts w:ascii="Aptos" w:hAnsi="Aptos"/>
                <w:b/>
                <w:sz w:val="18"/>
              </w:rPr>
              <w:t>Evvotec Pte Ltd</w:t>
            </w:r>
          </w:p>
        </w:tc>
        <w:tc>
          <w:tcPr>
            <w:tcW w:type="dxa" w:w="1944"/>
            <w:vAlign w:val="center"/>
          </w:tcPr>
          <w:p>
            <w:pPr>
              <w:keepNext/>
              <w:spacing w:before="40" w:after="0"/>
              <w:jc w:val="right"/>
            </w:pPr>
            <w:r>
              <w:rPr>
                <w:rFonts w:ascii="Aptos" w:hAnsi="Aptos"/>
                <w:b w:val="0"/>
                <w:color w:val="4C565E"/>
                <w:sz w:val="18"/>
              </w:rPr>
              <w:t>Apr 2015 - Apr 2016</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0" w:type="dxa"/>
          <w:start w:w="0" w:type="dxa"/>
          <w:bottom w:w="0" w:type="dxa"/>
          <w:end w:w="0" w:type="dxa"/>
        </w:tblCellMar>
      </w:tblPr>
      <w:tblGrid>
        <w:gridCol w:w="7272"/>
        <w:gridCol w:w="1944"/>
      </w:tblGrid>
      <w:tr>
        <w:tc>
          <w:tcPr>
            <w:tcW w:type="dxa" w:w="7272"/>
            <w:vAlign w:val="center"/>
          </w:tcPr>
          <w:p>
            <w:pPr>
              <w:keepNext/>
              <w:spacing w:before="0" w:after="20"/>
            </w:pPr>
            <w:r>
              <w:rPr>
                <w:rFonts w:ascii="Aptos" w:hAnsi="Aptos"/>
                <w:b/>
                <w:sz w:val="18"/>
              </w:rPr>
              <w:t>NOC &amp; IT Support Engineer</w:t>
            </w:r>
          </w:p>
        </w:tc>
        <w:tc>
          <w:tcPr>
            <w:tcW w:type="dxa" w:w="1944"/>
            <w:vAlign w:val="center"/>
          </w:tcPr>
          <w:p>
            <w:pPr>
              <w:keepNext/>
              <w:spacing w:before="0" w:after="20"/>
              <w:jc w:val="right"/>
            </w:pPr>
            <w:r>
              <w:rPr>
                <w:rFonts w:ascii="Aptos" w:hAnsi="Aptos"/>
                <w:b w:val="0"/>
                <w:color w:val="4C565E"/>
                <w:sz w:val="18"/>
              </w:rPr>
              <w:t>Singapore</w:t>
            </w:r>
          </w:p>
        </w:tc>
      </w:tr>
    </w:tbl>
    <w:p>
      <w:pPr>
        <w:pStyle w:val="ListBullet"/>
        <w:keepNext w:val="0"/>
      </w:pPr>
      <w:r>
        <w:rPr>
          <w:rFonts w:ascii="Aptos" w:hAnsi="Aptos"/>
          <w:b w:val="0"/>
        </w:rPr>
        <w:t>Network monitoring, incident documentation, and customer infrastructure support.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0" w:type="dxa"/>
          <w:start w:w="0" w:type="dxa"/>
          <w:bottom w:w="0" w:type="dxa"/>
          <w:end w:w="0" w:type="dxa"/>
        </w:tblCellMar>
      </w:tblPr>
      <w:tblGrid>
        <w:gridCol w:w="7272"/>
        <w:gridCol w:w="1944"/>
      </w:tblGrid>
      <w:tr>
        <w:tc>
          <w:tcPr>
            <w:tcW w:type="dxa" w:w="7272"/>
            <w:vAlign w:val="center"/>
          </w:tcPr>
          <w:p>
            <w:pPr>
              <w:keepNext/>
              <w:spacing w:before="40" w:after="0"/>
            </w:pPr>
            <w:r>
              <w:rPr>
                <w:rFonts w:ascii="Aptos" w:hAnsi="Aptos"/>
                <w:b/>
                <w:sz w:val="18"/>
              </w:rPr>
              <w:t>A-speed Infotech Pte Ltd</w:t>
            </w:r>
          </w:p>
        </w:tc>
        <w:tc>
          <w:tcPr>
            <w:tcW w:type="dxa" w:w="1944"/>
            <w:vAlign w:val="center"/>
          </w:tcPr>
          <w:p>
            <w:pPr>
              <w:keepNext/>
              <w:spacing w:before="40" w:after="0"/>
              <w:jc w:val="right"/>
            </w:pPr>
            <w:r>
              <w:rPr>
                <w:rFonts w:ascii="Aptos" w:hAnsi="Aptos"/>
                <w:b w:val="0"/>
                <w:color w:val="4C565E"/>
                <w:sz w:val="18"/>
              </w:rPr>
              <w:t>Feb 2014 - Apr 2015</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0" w:type="dxa"/>
          <w:start w:w="0" w:type="dxa"/>
          <w:bottom w:w="0" w:type="dxa"/>
          <w:end w:w="0" w:type="dxa"/>
        </w:tblCellMar>
      </w:tblPr>
      <w:tblGrid>
        <w:gridCol w:w="7272"/>
        <w:gridCol w:w="1944"/>
      </w:tblGrid>
      <w:tr>
        <w:tc>
          <w:tcPr>
            <w:tcW w:type="dxa" w:w="7272"/>
            <w:vAlign w:val="center"/>
          </w:tcPr>
          <w:p>
            <w:pPr>
              <w:keepNext/>
              <w:spacing w:before="0" w:after="20"/>
            </w:pPr>
            <w:r>
              <w:rPr>
                <w:rFonts w:ascii="Aptos" w:hAnsi="Aptos"/>
                <w:b/>
                <w:sz w:val="18"/>
              </w:rPr>
              <w:t>IT Engineer</w:t>
            </w:r>
          </w:p>
        </w:tc>
        <w:tc>
          <w:tcPr>
            <w:tcW w:type="dxa" w:w="1944"/>
            <w:vAlign w:val="center"/>
          </w:tcPr>
          <w:p>
            <w:pPr>
              <w:keepNext/>
              <w:spacing w:before="0" w:after="20"/>
              <w:jc w:val="right"/>
            </w:pPr>
            <w:r>
              <w:rPr>
                <w:rFonts w:ascii="Aptos" w:hAnsi="Aptos"/>
                <w:b w:val="0"/>
                <w:color w:val="4C565E"/>
                <w:sz w:val="18"/>
              </w:rPr>
              <w:t>Singapore</w:t>
            </w:r>
          </w:p>
        </w:tc>
      </w:tr>
    </w:tbl>
    <w:p>
      <w:pPr>
        <w:pStyle w:val="ListBullet"/>
        <w:keepNext w:val="0"/>
      </w:pPr>
      <w:r>
        <w:rPr>
          <w:rFonts w:ascii="Aptos" w:hAnsi="Aptos"/>
          <w:b w:val="0"/>
        </w:rPr>
        <w:t>End-user support, server/network maintenance, and security administration.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0" w:type="dxa"/>
          <w:start w:w="0" w:type="dxa"/>
          <w:bottom w:w="0" w:type="dxa"/>
          <w:end w:w="0" w:type="dxa"/>
        </w:tblCellMar>
      </w:tblPr>
      <w:tblGrid>
        <w:gridCol w:w="7272"/>
        <w:gridCol w:w="1944"/>
      </w:tblGrid>
      <w:tr>
        <w:tc>
          <w:tcPr>
            <w:tcW w:type="dxa" w:w="7272"/>
            <w:vAlign w:val="center"/>
          </w:tcPr>
          <w:p>
            <w:pPr>
              <w:keepNext/>
              <w:spacing w:before="40" w:after="0"/>
            </w:pPr>
            <w:r>
              <w:rPr>
                <w:rFonts w:ascii="Aptos" w:hAnsi="Aptos"/>
                <w:b/>
                <w:sz w:val="18"/>
              </w:rPr>
              <w:t>NCS</w:t>
            </w:r>
          </w:p>
        </w:tc>
        <w:tc>
          <w:tcPr>
            <w:tcW w:type="dxa" w:w="1944"/>
            <w:vAlign w:val="center"/>
          </w:tcPr>
          <w:p>
            <w:pPr>
              <w:keepNext/>
              <w:spacing w:before="40" w:after="0"/>
              <w:jc w:val="right"/>
            </w:pPr>
            <w:r>
              <w:rPr>
                <w:rFonts w:ascii="Aptos" w:hAnsi="Aptos"/>
                <w:b w:val="0"/>
                <w:color w:val="4C565E"/>
                <w:sz w:val="18"/>
              </w:rPr>
              <w:t>June 2010 - January 2014</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0" w:type="dxa"/>
          <w:start w:w="0" w:type="dxa"/>
          <w:bottom w:w="0" w:type="dxa"/>
          <w:end w:w="0" w:type="dxa"/>
        </w:tblCellMar>
      </w:tblPr>
      <w:tblGrid>
        <w:gridCol w:w="7272"/>
        <w:gridCol w:w="1944"/>
      </w:tblGrid>
      <w:tr>
        <w:tc>
          <w:tcPr>
            <w:tcW w:type="dxa" w:w="7272"/>
            <w:vAlign w:val="center"/>
          </w:tcPr>
          <w:p>
            <w:pPr>
              <w:keepNext/>
              <w:spacing w:before="0" w:after="20"/>
            </w:pPr>
            <w:r>
              <w:rPr>
                <w:rFonts w:ascii="Aptos" w:hAnsi="Aptos"/>
                <w:b/>
                <w:sz w:val="18"/>
              </w:rPr>
              <w:t>SSOE IT Support Engineer, MOE SSOE Project</w:t>
            </w:r>
          </w:p>
        </w:tc>
        <w:tc>
          <w:tcPr>
            <w:tcW w:type="dxa" w:w="1944"/>
            <w:vAlign w:val="center"/>
          </w:tcPr>
          <w:p>
            <w:pPr>
              <w:keepNext/>
              <w:spacing w:before="0" w:after="20"/>
              <w:jc w:val="right"/>
            </w:pPr>
            <w:r>
              <w:rPr>
                <w:rFonts w:ascii="Aptos" w:hAnsi="Aptos"/>
                <w:b w:val="0"/>
                <w:color w:val="4C565E"/>
                <w:sz w:val="18"/>
              </w:rPr>
              <w:t>Singapore</w:t>
            </w:r>
          </w:p>
        </w:tc>
      </w:tr>
    </w:tbl>
    <w:p>
      <w:pPr>
        <w:pStyle w:val="ListBullet"/>
        <w:keepNext/>
      </w:pPr>
      <w:r>
        <w:rPr>
          <w:rFonts w:ascii="Aptos" w:hAnsi="Aptos"/>
          <w:b w:val="0"/>
        </w:rPr>
        <w:t>Provided school ICT and desktop support, troubleshooting end-user hardware and software issues and handling support tickets.</w:t>
      </w:r>
    </w:p>
    <w:p>
      <w:pPr>
        <w:pStyle w:val="ListBullet"/>
        <w:keepNext w:val="0"/>
      </w:pPr>
      <w:r>
        <w:rPr>
          <w:rFonts w:ascii="Aptos" w:hAnsi="Aptos"/>
          <w:b w:val="0"/>
        </w:rPr>
        <w:t>Installed and patched software, maintained IT asset inventory, and coordinated with vendors on repairs and replacements.</w:t>
      </w:r>
    </w:p>
    <w:p>
      <w:pPr>
        <w:pStyle w:val="Heading1"/>
        <w:keepNext/>
      </w:pPr>
      <w:r>
        <w:t>Certification</w:t>
      </w:r>
    </w:p>
    <w:p>
      <w:pPr>
        <w:pStyle w:val="ListBullet"/>
        <w:keepNext w:val="0"/>
      </w:pPr>
      <w:r>
        <w:rPr>
          <w:rFonts w:ascii="Aptos" w:hAnsi="Aptos"/>
          <w:b w:val="0"/>
        </w:rPr>
        <w:t>Splunk Enterprise Certified Admin | 2026</w:t>
      </w:r>
    </w:p>
    <w:p>
      <w:pPr>
        <w:pStyle w:val="ListBullet"/>
        <w:keepNext w:val="0"/>
      </w:pPr>
      <w:r>
        <w:rPr>
          <w:rFonts w:ascii="Aptos" w:hAnsi="Aptos"/>
          <w:b w:val="0"/>
        </w:rPr>
        <w:t>Splunk Core Certified Power User | 2025</w:t>
      </w:r>
    </w:p>
    <w:p>
      <w:pPr>
        <w:pStyle w:val="Heading1"/>
        <w:keepNext/>
      </w:pPr>
      <w:r>
        <w:t>Education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0" w:type="dxa"/>
          <w:start w:w="0" w:type="dxa"/>
          <w:bottom w:w="0" w:type="dxa"/>
          <w:end w:w="0" w:type="dxa"/>
        </w:tblCellMar>
      </w:tblPr>
      <w:tblGrid>
        <w:gridCol w:w="7272"/>
        <w:gridCol w:w="1944"/>
      </w:tblGrid>
      <w:tr>
        <w:tc>
          <w:tcPr>
            <w:tcW w:type="dxa" w:w="7272"/>
            <w:vAlign w:val="center"/>
          </w:tcPr>
          <w:p>
            <w:pPr>
              <w:keepNext/>
              <w:spacing w:before="40" w:after="0"/>
            </w:pPr>
            <w:r>
              <w:rPr>
                <w:rFonts w:ascii="Aptos" w:hAnsi="Aptos"/>
                <w:b/>
                <w:sz w:val="18"/>
              </w:rPr>
              <w:t>University of Portsmouth</w:t>
            </w:r>
          </w:p>
        </w:tc>
        <w:tc>
          <w:tcPr>
            <w:tcW w:type="dxa" w:w="1944"/>
            <w:vAlign w:val="center"/>
          </w:tcPr>
          <w:p>
            <w:pPr>
              <w:keepNext/>
              <w:spacing w:before="40" w:after="0"/>
              <w:jc w:val="right"/>
            </w:pPr>
            <w:r>
              <w:rPr>
                <w:rFonts w:ascii="Aptos" w:hAnsi="Aptos"/>
                <w:b w:val="0"/>
                <w:color w:val="4C565E"/>
                <w:sz w:val="18"/>
              </w:rPr>
              <w:t>2022</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0" w:type="dxa"/>
          <w:start w:w="0" w:type="dxa"/>
          <w:bottom w:w="0" w:type="dxa"/>
          <w:end w:w="0" w:type="dxa"/>
        </w:tblCellMar>
      </w:tblPr>
      <w:tblGrid>
        <w:gridCol w:w="7272"/>
        <w:gridCol w:w="1944"/>
      </w:tblGrid>
      <w:tr>
        <w:tc>
          <w:tcPr>
            <w:tcW w:type="dxa" w:w="7272"/>
            <w:vAlign w:val="center"/>
          </w:tcPr>
          <w:p>
            <w:pPr>
              <w:keepNext/>
              <w:spacing w:before="0" w:after="0"/>
            </w:pPr>
            <w:r>
              <w:rPr>
                <w:rFonts w:ascii="Aptos" w:hAnsi="Aptos"/>
                <w:b w:val="0"/>
                <w:sz w:val="18"/>
              </w:rPr>
              <w:t>Bachelor's Degree, Computer Science / Information Technology (Cybersecurity &amp; Forensics Computing)</w:t>
            </w:r>
          </w:p>
        </w:tc>
        <w:tc>
          <w:tcPr>
            <w:tcW w:type="dxa" w:w="1944"/>
            <w:vAlign w:val="center"/>
          </w:tcPr>
          <w:p>
            <w:pPr>
              <w:keepNext/>
              <w:spacing w:before="0" w:after="0"/>
              <w:jc w:val="right"/>
            </w:pPr>
            <w:r>
              <w:rPr>
                <w:rFonts w:ascii="Aptos" w:hAnsi="Aptos"/>
                <w:b w:val="0"/>
                <w:color w:val="4C565E"/>
                <w:sz w:val="18"/>
              </w:rPr>
              <w:t>United Kingdom</w:t>
            </w:r>
          </w:p>
        </w:tc>
      </w:tr>
    </w:tbl>
    <w:p>
      <w:pPr>
        <w:pStyle w:val="ListBullet"/>
        <w:keepNext w:val="0"/>
      </w:pPr>
      <w:r>
        <w:rPr>
          <w:rFonts w:ascii="Aptos" w:hAnsi="Aptos"/>
          <w:b w:val="0"/>
        </w:rPr>
        <w:t>Achievements: Second Class Honours (Upper Division)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0" w:type="dxa"/>
          <w:start w:w="0" w:type="dxa"/>
          <w:bottom w:w="0" w:type="dxa"/>
          <w:end w:w="0" w:type="dxa"/>
        </w:tblCellMar>
      </w:tblPr>
      <w:tblGrid>
        <w:gridCol w:w="7272"/>
        <w:gridCol w:w="1944"/>
      </w:tblGrid>
      <w:tr>
        <w:tc>
          <w:tcPr>
            <w:tcW w:type="dxa" w:w="7272"/>
            <w:vAlign w:val="center"/>
          </w:tcPr>
          <w:p>
            <w:pPr>
              <w:keepNext/>
              <w:spacing w:before="40" w:after="0"/>
            </w:pPr>
            <w:r>
              <w:rPr>
                <w:rFonts w:ascii="Aptos" w:hAnsi="Aptos"/>
                <w:b/>
                <w:sz w:val="18"/>
              </w:rPr>
              <w:t>MAD School (previously Chats Worth Mediation Academy)</w:t>
            </w:r>
          </w:p>
        </w:tc>
        <w:tc>
          <w:tcPr>
            <w:tcW w:type="dxa" w:w="1944"/>
            <w:vAlign w:val="center"/>
          </w:tcPr>
          <w:p>
            <w:pPr>
              <w:keepNext/>
              <w:spacing w:before="40" w:after="0"/>
              <w:jc w:val="right"/>
            </w:pPr>
            <w:r>
              <w:rPr>
                <w:rFonts w:ascii="Aptos" w:hAnsi="Aptos"/>
                <w:b w:val="0"/>
                <w:color w:val="4C565E"/>
                <w:sz w:val="18"/>
              </w:rPr>
              <w:t>2013</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0" w:type="dxa"/>
          <w:start w:w="0" w:type="dxa"/>
          <w:bottom w:w="0" w:type="dxa"/>
          <w:end w:w="0" w:type="dxa"/>
        </w:tblCellMar>
      </w:tblPr>
      <w:tblGrid>
        <w:gridCol w:w="7272"/>
        <w:gridCol w:w="1944"/>
      </w:tblGrid>
      <w:tr>
        <w:tc>
          <w:tcPr>
            <w:tcW w:type="dxa" w:w="7272"/>
            <w:vAlign w:val="center"/>
          </w:tcPr>
          <w:p>
            <w:pPr>
              <w:keepNext/>
              <w:spacing w:before="0" w:after="0"/>
            </w:pPr>
            <w:r>
              <w:rPr>
                <w:rFonts w:ascii="Aptos" w:hAnsi="Aptos"/>
                <w:b w:val="0"/>
                <w:sz w:val="18"/>
              </w:rPr>
              <w:t>Diploma, Mass Communications (Communications &amp; Design)</w:t>
            </w:r>
          </w:p>
        </w:tc>
        <w:tc>
          <w:tcPr>
            <w:tcW w:type="dxa" w:w="1944"/>
            <w:vAlign w:val="center"/>
          </w:tcPr>
          <w:p>
            <w:pPr>
              <w:keepNext/>
              <w:spacing w:before="0" w:after="0"/>
              <w:jc w:val="right"/>
            </w:pPr>
            <w:r>
              <w:rPr>
                <w:rFonts w:ascii="Aptos" w:hAnsi="Aptos"/>
                <w:b w:val="0"/>
                <w:color w:val="4C565E"/>
                <w:sz w:val="18"/>
              </w:rPr>
              <w:t>Singapore</w:t>
            </w:r>
          </w:p>
        </w:tc>
      </w:tr>
    </w:tbl>
    <w:p>
      <w:pPr>
        <w:pStyle w:val="Heading1"/>
        <w:keepNext/>
      </w:pPr>
      <w:r>
        <w:t>Additional Training</w:t>
      </w:r>
    </w:p>
    <w:p>
      <w:pPr>
        <w:keepNext/>
      </w:pPr>
      <w:r>
        <w:rPr>
          <w:rFonts w:ascii="Aptos" w:hAnsi="Aptos"/>
          <w:b w:val="0"/>
        </w:rPr>
        <w:t>Data Science Course - Vertical Institute, Singapore</w:t>
      </w:r>
    </w:p>
    <w:p>
      <w:pPr>
        <w:pStyle w:val="ListBullet"/>
        <w:keepNext w:val="0"/>
      </w:pPr>
      <w:r>
        <w:rPr>
          <w:rFonts w:ascii="Aptos" w:hAnsi="Aptos"/>
          <w:b w:val="0"/>
        </w:rPr>
        <w:t>Modules: Data Analytics with Python; Data Science with Python; Machine Learning</w:t>
      </w:r>
    </w:p>
    <w:sectPr w:rsidR="00FC693F" w:rsidRPr="0006063C" w:rsidSect="00034616">
      <w:pgSz w:w="12240" w:h="15840"/>
      <w:pgMar w:top="792" w:right="893" w:bottom="648"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59" w:lineRule="auto"/>
    </w:pPr>
    <w:rPr>
      <w:rFonts w:ascii="Aptos" w:hAnsi="Aptos"/>
      <w:color w:val="23272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w:hAnsi="Aptos"/>
      <w:b/>
      <w:bCs/>
      <w:color w:val="106070"/>
      <w:sz w:val="20"/>
      <w:szCs w:val="28"/>
    </w:rPr>
  </w:style>
  <w:style w:type="paragraph" w:styleId="Heading2">
    <w:name w:val="heading 2"/>
    <w:basedOn w:val="Normal"/>
    <w:next w:val="Normal"/>
    <w:link w:val="Heading2Char"/>
    <w:uiPriority w:val="9"/>
    <w:unhideWhenUsed/>
    <w:qFormat/>
    <w:rsid w:val="00FC693F"/>
    <w:pPr>
      <w:keepNext/>
      <w:keepLines/>
      <w:spacing w:before="80" w:after="20"/>
      <w:outlineLvl w:val="1"/>
    </w:pPr>
    <w:rPr>
      <w:rFonts w:asciiTheme="majorHAnsi" w:eastAsiaTheme="majorEastAsia" w:hAnsiTheme="majorHAnsi" w:cstheme="majorBidi" w:ascii="Aptos" w:hAnsi="Aptos"/>
      <w:b/>
      <w:bCs/>
      <w:color w:val="23272B"/>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23272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50" w:lineRule="auto"/>
      <w:ind w:left="317" w:hanging="173"/>
      <w:contextualSpacing/>
    </w:pPr>
    <w:rPr>
      <w:rFonts w:ascii="Aptos" w:hAnsi="Aptos"/>
      <w:color w:val="23272B"/>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