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jc w:val="center"/>
      </w:pPr>
      <w:r>
        <w:rPr>
          <w:b/>
          <w:color w:val="1F497D"/>
          <w:sz w:val="44"/>
        </w:rPr>
        <w:t>Rapport de Projet Machine Learning 2026</w:t>
      </w:r>
    </w:p>
    <w:p>
      <w:pPr>
        <w:spacing w:after="0" w:before="0"/>
      </w:pPr>
    </w:p>
    <w:p>
      <w:pPr>
        <w:jc w:val="center"/>
      </w:pPr>
      <w:r>
        <w:rPr>
          <w:b/>
          <w:sz w:val="32"/>
        </w:rPr>
        <w:t>Smart School</w:t>
      </w:r>
    </w:p>
    <w:p>
      <w:pPr>
        <w:jc w:val="center"/>
      </w:pPr>
      <w:r>
        <w:rPr>
          <w:color w:val="404040"/>
          <w:sz w:val="26"/>
        </w:rPr>
        <w:t>Prédiction d'Échec Scolaire &amp; Correction Automatique par OCR</w:t>
      </w:r>
    </w:p>
    <w:p>
      <w:pPr>
        <w:spacing w:after="0" w:before="0"/>
      </w:pPr>
    </w:p>
    <w:p>
      <w:pPr>
        <w:spacing w:after="0" w:before="0"/>
      </w:pPr>
    </w:p>
    <w:p>
      <w:pPr>
        <w:jc w:val="center"/>
      </w:pPr>
      <w:r>
        <w:t>────────────────────────────────────────────────────────────</w:t>
      </w:r>
    </w:p>
    <w:p>
      <w:pPr>
        <w:spacing w:after="0" w:before="0"/>
      </w:pPr>
    </w:p>
    <w:p>
      <w:pPr>
        <w:jc w:val="center"/>
      </w:pPr>
      <w:r>
        <w:rPr>
          <w:b/>
        </w:rPr>
        <w:t xml:space="preserve">Auteur : </w:t>
      </w:r>
      <w:r>
        <w:t>nanatavie@gmail.com</w:t>
      </w:r>
    </w:p>
    <w:p>
      <w:pPr>
        <w:jc w:val="center"/>
      </w:pPr>
      <w:r>
        <w:rPr>
          <w:b/>
        </w:rPr>
        <w:t xml:space="preserve">Date : </w:t>
      </w:r>
      <w:r>
        <w:t>Mai 2026</w:t>
      </w:r>
    </w:p>
    <w:p>
      <w:pPr>
        <w:jc w:val="center"/>
      </w:pPr>
      <w:r>
        <w:rPr>
          <w:b/>
        </w:rPr>
        <w:t xml:space="preserve">Cours : </w:t>
      </w:r>
      <w:r>
        <w:t>Machine Learning 2026</w:t>
      </w:r>
    </w:p>
    <w:p>
      <w:pPr>
        <w:jc w:val="center"/>
      </w:pPr>
      <w:r>
        <w:rPr>
          <w:b/>
        </w:rPr>
        <w:t xml:space="preserve">Volume : </w:t>
      </w:r>
      <w:r>
        <w:t>≤ 10 pages</w:t>
      </w:r>
    </w:p>
    <w:p>
      <w:r>
        <w:br w:type="page"/>
      </w:r>
    </w:p>
    <w:p>
      <w:pPr>
        <w:pStyle w:val="Heading1"/>
        <w:jc w:val="left"/>
      </w:pPr>
      <w:r>
        <w:rPr>
          <w:color w:val="1F497D"/>
        </w:rPr>
        <w:t>Table des matières</w:t>
      </w:r>
    </w:p>
    <w:tbl>
      <w:tblPr>
        <w:tblStyle w:val="TableGrid"/>
        <w:tblW w:type="auto" w:w="0"/>
        <w:tblLook w:firstColumn="1" w:firstRow="1" w:lastColumn="0" w:lastRow="0" w:noHBand="0" w:noVBand="1" w:val="04A0"/>
      </w:tblPr>
      <w:tblGrid>
        <w:gridCol w:w="3135"/>
        <w:gridCol w:w="3135"/>
        <w:gridCol w:w="3135"/>
      </w:tblGrid>
      <w:tr>
        <w:tc>
          <w:tcPr>
            <w:tcW w:type="dxa" w:w="864"/>
          </w:tcPr>
          <w:p>
            <w:r>
              <w:t>1.</w:t>
            </w:r>
          </w:p>
        </w:tc>
        <w:tc>
          <w:tcPr>
            <w:tcW w:type="dxa" w:w="7488"/>
          </w:tcPr>
          <w:p>
            <w:r>
              <w:t>Introduction</w:t>
            </w:r>
          </w:p>
        </w:tc>
        <w:tc>
          <w:tcPr>
            <w:tcW w:type="dxa" w:w="864"/>
          </w:tcPr>
          <w:p>
            <w:pPr>
              <w:jc w:val="right"/>
            </w:pPr>
            <w:r>
              <w:t>3</w:t>
            </w:r>
          </w:p>
        </w:tc>
      </w:tr>
      <w:tr>
        <w:tc>
          <w:tcPr>
            <w:tcW w:type="dxa" w:w="864"/>
          </w:tcPr>
          <w:p>
            <w:r>
              <w:t>2.</w:t>
            </w:r>
          </w:p>
        </w:tc>
        <w:tc>
          <w:tcPr>
            <w:tcW w:type="dxa" w:w="7488"/>
          </w:tcPr>
          <w:p>
            <w:r>
              <w:t>Partie 1 — Prédiction d'Échec Scolaire</w:t>
            </w:r>
          </w:p>
        </w:tc>
        <w:tc>
          <w:tcPr>
            <w:tcW w:type="dxa" w:w="864"/>
          </w:tcPr>
          <w:p>
            <w:pPr>
              <w:jc w:val="right"/>
            </w:pPr>
            <w:r>
              <w:t>3</w:t>
            </w:r>
          </w:p>
        </w:tc>
      </w:tr>
      <w:tr>
        <w:tc>
          <w:tcPr>
            <w:tcW w:type="dxa" w:w="864"/>
          </w:tcPr>
          <w:p>
            <w:r>
              <w:t>2.1</w:t>
            </w:r>
          </w:p>
        </w:tc>
        <w:tc>
          <w:tcPr>
            <w:tcW w:type="dxa" w:w="7488"/>
          </w:tcPr>
          <w:p>
            <w:r>
              <w:t>Analyse Exploratoire des Données (EDA)</w:t>
            </w:r>
          </w:p>
        </w:tc>
        <w:tc>
          <w:tcPr>
            <w:tcW w:type="dxa" w:w="864"/>
          </w:tcPr>
          <w:p>
            <w:pPr>
              <w:jc w:val="right"/>
            </w:pPr>
            <w:r>
              <w:t>3</w:t>
            </w:r>
          </w:p>
        </w:tc>
      </w:tr>
      <w:tr>
        <w:tc>
          <w:tcPr>
            <w:tcW w:type="dxa" w:w="864"/>
          </w:tcPr>
          <w:p>
            <w:r>
              <w:t>2.2</w:t>
            </w:r>
          </w:p>
        </w:tc>
        <w:tc>
          <w:tcPr>
            <w:tcW w:type="dxa" w:w="7488"/>
          </w:tcPr>
          <w:p>
            <w:r>
              <w:t>Sélection et Ingénierie des Variables</w:t>
            </w:r>
          </w:p>
        </w:tc>
        <w:tc>
          <w:tcPr>
            <w:tcW w:type="dxa" w:w="864"/>
          </w:tcPr>
          <w:p>
            <w:pPr>
              <w:jc w:val="right"/>
            </w:pPr>
            <w:r>
              <w:t>4</w:t>
            </w:r>
          </w:p>
        </w:tc>
      </w:tr>
      <w:tr>
        <w:tc>
          <w:tcPr>
            <w:tcW w:type="dxa" w:w="864"/>
          </w:tcPr>
          <w:p>
            <w:r>
              <w:t>2.3</w:t>
            </w:r>
          </w:p>
        </w:tc>
        <w:tc>
          <w:tcPr>
            <w:tcW w:type="dxa" w:w="7488"/>
          </w:tcPr>
          <w:p>
            <w:r>
              <w:t>Pré-traitement des Données</w:t>
            </w:r>
          </w:p>
        </w:tc>
        <w:tc>
          <w:tcPr>
            <w:tcW w:type="dxa" w:w="864"/>
          </w:tcPr>
          <w:p>
            <w:pPr>
              <w:jc w:val="right"/>
            </w:pPr>
            <w:r>
              <w:t>5</w:t>
            </w:r>
          </w:p>
        </w:tc>
      </w:tr>
      <w:tr>
        <w:tc>
          <w:tcPr>
            <w:tcW w:type="dxa" w:w="864"/>
          </w:tcPr>
          <w:p>
            <w:r>
              <w:t>2.4</w:t>
            </w:r>
          </w:p>
        </w:tc>
        <w:tc>
          <w:tcPr>
            <w:tcW w:type="dxa" w:w="7488"/>
          </w:tcPr>
          <w:p>
            <w:r>
              <w:t>Comparaison des Modèles et Hyperparamètres</w:t>
            </w:r>
          </w:p>
        </w:tc>
        <w:tc>
          <w:tcPr>
            <w:tcW w:type="dxa" w:w="864"/>
          </w:tcPr>
          <w:p>
            <w:pPr>
              <w:jc w:val="right"/>
            </w:pPr>
            <w:r>
              <w:t>5</w:t>
            </w:r>
          </w:p>
        </w:tc>
      </w:tr>
      <w:tr>
        <w:tc>
          <w:tcPr>
            <w:tcW w:type="dxa" w:w="864"/>
          </w:tcPr>
          <w:p>
            <w:r>
              <w:t>2.5</w:t>
            </w:r>
          </w:p>
        </w:tc>
        <w:tc>
          <w:tcPr>
            <w:tcW w:type="dxa" w:w="7488"/>
          </w:tcPr>
          <w:p>
            <w:r>
              <w:t>Validation Croisée</w:t>
            </w:r>
          </w:p>
        </w:tc>
        <w:tc>
          <w:tcPr>
            <w:tcW w:type="dxa" w:w="864"/>
          </w:tcPr>
          <w:p>
            <w:pPr>
              <w:jc w:val="right"/>
            </w:pPr>
            <w:r>
              <w:t>6</w:t>
            </w:r>
          </w:p>
        </w:tc>
      </w:tr>
      <w:tr>
        <w:tc>
          <w:tcPr>
            <w:tcW w:type="dxa" w:w="864"/>
          </w:tcPr>
          <w:p>
            <w:r>
              <w:t>2.6</w:t>
            </w:r>
          </w:p>
        </w:tc>
        <w:tc>
          <w:tcPr>
            <w:tcW w:type="dxa" w:w="7488"/>
          </w:tcPr>
          <w:p>
            <w:r>
              <w:t>Résultats et Discussion</w:t>
            </w:r>
          </w:p>
        </w:tc>
        <w:tc>
          <w:tcPr>
            <w:tcW w:type="dxa" w:w="864"/>
          </w:tcPr>
          <w:p>
            <w:pPr>
              <w:jc w:val="right"/>
            </w:pPr>
            <w:r>
              <w:t>7</w:t>
            </w:r>
          </w:p>
        </w:tc>
      </w:tr>
      <w:tr>
        <w:tc>
          <w:tcPr>
            <w:tcW w:type="dxa" w:w="864"/>
          </w:tcPr>
          <w:p>
            <w:r>
              <w:t>3.</w:t>
            </w:r>
          </w:p>
        </w:tc>
        <w:tc>
          <w:tcPr>
            <w:tcW w:type="dxa" w:w="7488"/>
          </w:tcPr>
          <w:p>
            <w:r>
              <w:t>Partie 2 — Correction Automatique par OCR</w:t>
            </w:r>
          </w:p>
        </w:tc>
        <w:tc>
          <w:tcPr>
            <w:tcW w:type="dxa" w:w="864"/>
          </w:tcPr>
          <w:p>
            <w:pPr>
              <w:jc w:val="right"/>
            </w:pPr>
            <w:r>
              <w:t>7</w:t>
            </w:r>
          </w:p>
        </w:tc>
      </w:tr>
      <w:tr>
        <w:tc>
          <w:tcPr>
            <w:tcW w:type="dxa" w:w="864"/>
          </w:tcPr>
          <w:p>
            <w:r>
              <w:t>3.1</w:t>
            </w:r>
          </w:p>
        </w:tc>
        <w:tc>
          <w:tcPr>
            <w:tcW w:type="dxa" w:w="7488"/>
          </w:tcPr>
          <w:p>
            <w:r>
              <w:t>Jeu de Données EMNIST</w:t>
            </w:r>
          </w:p>
        </w:tc>
        <w:tc>
          <w:tcPr>
            <w:tcW w:type="dxa" w:w="864"/>
          </w:tcPr>
          <w:p>
            <w:pPr>
              <w:jc w:val="right"/>
            </w:pPr>
            <w:r>
              <w:t>7</w:t>
            </w:r>
          </w:p>
        </w:tc>
      </w:tr>
      <w:tr>
        <w:tc>
          <w:tcPr>
            <w:tcW w:type="dxa" w:w="864"/>
          </w:tcPr>
          <w:p>
            <w:r>
              <w:t>3.2</w:t>
            </w:r>
          </w:p>
        </w:tc>
        <w:tc>
          <w:tcPr>
            <w:tcW w:type="dxa" w:w="7488"/>
          </w:tcPr>
          <w:p>
            <w:r>
              <w:t>Pré-traitement</w:t>
            </w:r>
          </w:p>
        </w:tc>
        <w:tc>
          <w:tcPr>
            <w:tcW w:type="dxa" w:w="864"/>
          </w:tcPr>
          <w:p>
            <w:pPr>
              <w:jc w:val="right"/>
            </w:pPr>
            <w:r>
              <w:t>8</w:t>
            </w:r>
          </w:p>
        </w:tc>
      </w:tr>
      <w:tr>
        <w:tc>
          <w:tcPr>
            <w:tcW w:type="dxa" w:w="864"/>
          </w:tcPr>
          <w:p>
            <w:r>
              <w:t>3.3</w:t>
            </w:r>
          </w:p>
        </w:tc>
        <w:tc>
          <w:tcPr>
            <w:tcW w:type="dxa" w:w="7488"/>
          </w:tcPr>
          <w:p>
            <w:r>
              <w:t>Modèles et Hyperparamètres</w:t>
            </w:r>
          </w:p>
        </w:tc>
        <w:tc>
          <w:tcPr>
            <w:tcW w:type="dxa" w:w="864"/>
          </w:tcPr>
          <w:p>
            <w:pPr>
              <w:jc w:val="right"/>
            </w:pPr>
            <w:r>
              <w:t>8</w:t>
            </w:r>
          </w:p>
        </w:tc>
      </w:tr>
      <w:tr>
        <w:tc>
          <w:tcPr>
            <w:tcW w:type="dxa" w:w="864"/>
          </w:tcPr>
          <w:p>
            <w:r>
              <w:t>3.4</w:t>
            </w:r>
          </w:p>
        </w:tc>
        <w:tc>
          <w:tcPr>
            <w:tcW w:type="dxa" w:w="7488"/>
          </w:tcPr>
          <w:p>
            <w:r>
              <w:t>Résultats et Discussion</w:t>
            </w:r>
          </w:p>
        </w:tc>
        <w:tc>
          <w:tcPr>
            <w:tcW w:type="dxa" w:w="864"/>
          </w:tcPr>
          <w:p>
            <w:pPr>
              <w:jc w:val="right"/>
            </w:pPr>
            <w:r>
              <w:t>9</w:t>
            </w:r>
          </w:p>
        </w:tc>
      </w:tr>
      <w:tr>
        <w:tc>
          <w:tcPr>
            <w:tcW w:type="dxa" w:w="864"/>
          </w:tcPr>
          <w:p>
            <w:r>
              <w:t>4.</w:t>
            </w:r>
          </w:p>
        </w:tc>
        <w:tc>
          <w:tcPr>
            <w:tcW w:type="dxa" w:w="7488"/>
          </w:tcPr>
          <w:p>
            <w:r>
              <w:t>Conclusion</w:t>
            </w:r>
          </w:p>
        </w:tc>
        <w:tc>
          <w:tcPr>
            <w:tcW w:type="dxa" w:w="864"/>
          </w:tcPr>
          <w:p>
            <w:pPr>
              <w:jc w:val="right"/>
            </w:pPr>
            <w:r>
              <w:t>9</w:t>
            </w:r>
          </w:p>
        </w:tc>
      </w:tr>
      <w:tr>
        <w:tc>
          <w:tcPr>
            <w:tcW w:type="dxa" w:w="864"/>
          </w:tcPr>
          <w:p>
            <w:r/>
          </w:p>
        </w:tc>
        <w:tc>
          <w:tcPr>
            <w:tcW w:type="dxa" w:w="7488"/>
          </w:tcPr>
          <w:p>
            <w:r>
              <w:t>Références</w:t>
            </w:r>
          </w:p>
        </w:tc>
        <w:tc>
          <w:tcPr>
            <w:tcW w:type="dxa" w:w="864"/>
          </w:tcPr>
          <w:p>
            <w:pPr>
              <w:jc w:val="right"/>
            </w:pPr>
            <w:r>
              <w:t>10</w:t>
            </w:r>
          </w:p>
        </w:tc>
      </w:tr>
    </w:tbl>
    <w:p>
      <w:r>
        <w:br w:type="page"/>
      </w:r>
    </w:p>
    <w:p>
      <w:pPr>
        <w:pStyle w:val="Heading1"/>
        <w:jc w:val="left"/>
      </w:pPr>
      <w:r>
        <w:rPr>
          <w:color w:val="1F497D"/>
        </w:rPr>
        <w:t>1. Introduction</w:t>
      </w:r>
    </w:p>
    <w:p>
      <w:pPr>
        <w:spacing w:after="120"/>
        <w:jc w:val="both"/>
      </w:pPr>
      <w:r>
        <w:t>Le projet Smart School s'inscrit dans la problématique de l'intelligence artificielle appliquée à l'éducation (EdTech). Il vise à automatiser deux processus coûteux en temps pour les établissements scolaires : l'identification précoce des élèves en difficulté et la correction de copies manuscrites.</w:t>
      </w:r>
    </w:p>
    <w:p>
      <w:pPr>
        <w:spacing w:after="120"/>
        <w:jc w:val="both"/>
      </w:pPr>
      <w:r>
        <w:t>La première partie aborde un problème de régression supervisée : prédire le score final d'un élève à partir de variables comportementales, socio-économiques et d'apprentissage, afin de déclencher une intervention pédagogique ciblée avant les examens. Le jeu de données comprend 630 000 observations et 20 variables.</w:t>
      </w:r>
    </w:p>
    <w:p>
      <w:pPr>
        <w:spacing w:after="120"/>
        <w:jc w:val="both"/>
      </w:pPr>
      <w:r>
        <w:t>La deuxième partie traite un problème de classification multiclasse : reconnaître automatiquement des caractères manuscrits (chiffres et lettres) à partir d'images 28×28 pixels, en exploitant le jeu de données public EMNIST (697 932 images, 62 classes). Cette tâche simule la correction automatique de copies.</w:t>
      </w:r>
    </w:p>
    <w:p>
      <w:pPr>
        <w:spacing w:after="120"/>
        <w:jc w:val="both"/>
      </w:pPr>
      <w:r>
        <w:t>Les deux pipelines sont développés en Python (scikit-learn, XGBoost, TensorFlow) et suivent les bonnes pratiques du domaine : séparation stricte train/validation/test, absence de fuite de données (data leakage), baseline de référence, et validation croisée pour estimer la généralisation.</w:t>
      </w:r>
    </w:p>
    <w:p>
      <w:pPr>
        <w:pStyle w:val="Heading1"/>
        <w:jc w:val="left"/>
      </w:pPr>
      <w:r>
        <w:rPr>
          <w:color w:val="1F497D"/>
        </w:rPr>
        <w:t>2. Partie 1 — Prédiction d'Échec Scolaire</w:t>
      </w:r>
    </w:p>
    <w:p>
      <w:pPr>
        <w:pStyle w:val="Heading2"/>
        <w:jc w:val="left"/>
      </w:pPr>
      <w:r>
        <w:t>2.1 Analyse Exploratoire des Données (EDA)</w:t>
      </w:r>
    </w:p>
    <w:p>
      <w:pPr>
        <w:spacing w:after="120"/>
        <w:jc w:val="both"/>
      </w:pPr>
      <w:r>
        <w:t>L'analyse exploratoire (EDA — Exploratory Data Analysis) constitue la première étape indispensable de tout projet de machine learning. Elle permet de comprendre la structure des données, de détecter les anomalies et de formuler des hypothèses sur les relations entre variables avant toute modélisation.</w:t>
      </w:r>
    </w:p>
    <w:p>
      <w:pPr>
        <w:pStyle w:val="Heading3"/>
        <w:jc w:val="left"/>
      </w:pPr>
      <w:r>
        <w:t>2.1.1 Description du jeu de données</w:t>
      </w:r>
    </w:p>
    <w:p>
      <w:pPr>
        <w:spacing w:after="120"/>
        <w:jc w:val="both"/>
      </w:pPr>
      <w:r>
        <w:t>Le jeu de données contient 630 000 observations et 20 variables réparties en trois catégories : variables comportementales (heures d'étude, assiduité, méthode d'étude), variables socio-économiques (accès à internet, ressources disponibles, revenu familial) et variables de bien-être (santé, niveau de stress, qualité du sommeil).</w:t>
      </w:r>
    </w:p>
    <w:tbl>
      <w:tblPr>
        <w:tblStyle w:val="TableGrid"/>
        <w:tblW w:type="auto" w:w="0"/>
        <w:tblLook w:firstColumn="1" w:firstRow="1" w:lastColumn="0" w:lastRow="0" w:noHBand="0" w:noVBand="1" w:val="04A0"/>
      </w:tblPr>
      <w:tblGrid>
        <w:gridCol w:w="2351"/>
        <w:gridCol w:w="2351"/>
        <w:gridCol w:w="2351"/>
        <w:gridCol w:w="2351"/>
      </w:tblGrid>
      <w:tr>
        <w:tc>
          <w:tcPr>
            <w:tcW w:type="dxa" w:w="2592"/>
            <w:shd w:val="clear" w:color="auto" w:fill="D9E1F2"/>
          </w:tcPr>
          <w:p>
            <w:r>
              <w:rPr>
                <w:b/>
              </w:rPr>
              <w:t>Variable</w:t>
            </w:r>
          </w:p>
        </w:tc>
        <w:tc>
          <w:tcPr>
            <w:tcW w:type="dxa" w:w="1440"/>
            <w:shd w:val="clear" w:color="auto" w:fill="D9E1F2"/>
          </w:tcPr>
          <w:p>
            <w:r>
              <w:rPr>
                <w:b/>
              </w:rPr>
              <w:t>Type</w:t>
            </w:r>
          </w:p>
        </w:tc>
        <w:tc>
          <w:tcPr>
            <w:tcW w:type="dxa" w:w="3600"/>
            <w:shd w:val="clear" w:color="auto" w:fill="D9E1F2"/>
          </w:tcPr>
          <w:p>
            <w:r>
              <w:rPr>
                <w:b/>
              </w:rPr>
              <w:t>Description</w:t>
            </w:r>
          </w:p>
        </w:tc>
        <w:tc>
          <w:tcPr>
            <w:tcW w:type="dxa" w:w="2448"/>
            <w:shd w:val="clear" w:color="auto" w:fill="D9E1F2"/>
          </w:tcPr>
          <w:p>
            <w:r>
              <w:rPr>
                <w:b/>
              </w:rPr>
              <w:t>Valeurs manquantes</w:t>
            </w:r>
          </w:p>
        </w:tc>
      </w:tr>
      <w:tr>
        <w:tc>
          <w:tcPr>
            <w:tcW w:type="dxa" w:w="2592"/>
          </w:tcPr>
          <w:p>
            <w:r>
              <w:t>score_final</w:t>
            </w:r>
          </w:p>
        </w:tc>
        <w:tc>
          <w:tcPr>
            <w:tcW w:type="dxa" w:w="1440"/>
          </w:tcPr>
          <w:p>
            <w:r>
              <w:t>Numérique</w:t>
            </w:r>
          </w:p>
        </w:tc>
        <w:tc>
          <w:tcPr>
            <w:tcW w:type="dxa" w:w="3600"/>
          </w:tcPr>
          <w:p>
            <w:r>
              <w:t>Variable cible (0–100)</w:t>
            </w:r>
          </w:p>
        </w:tc>
        <w:tc>
          <w:tcPr>
            <w:tcW w:type="dxa" w:w="2448"/>
          </w:tcPr>
          <w:p>
            <w:r>
              <w:t>0 %</w:t>
            </w:r>
          </w:p>
        </w:tc>
      </w:tr>
      <w:tr>
        <w:tc>
          <w:tcPr>
            <w:tcW w:type="dxa" w:w="2592"/>
          </w:tcPr>
          <w:p>
            <w:r>
              <w:t>heures_etude</w:t>
            </w:r>
          </w:p>
        </w:tc>
        <w:tc>
          <w:tcPr>
            <w:tcW w:type="dxa" w:w="1440"/>
          </w:tcPr>
          <w:p>
            <w:r>
              <w:t>Numérique</w:t>
            </w:r>
          </w:p>
        </w:tc>
        <w:tc>
          <w:tcPr>
            <w:tcW w:type="dxa" w:w="3600"/>
          </w:tcPr>
          <w:p>
            <w:r>
              <w:t>Heures d'étude hebdomadaires</w:t>
            </w:r>
          </w:p>
        </w:tc>
        <w:tc>
          <w:tcPr>
            <w:tcW w:type="dxa" w:w="2448"/>
          </w:tcPr>
          <w:p>
            <w:r>
              <w:t>~3 %</w:t>
            </w:r>
          </w:p>
        </w:tc>
      </w:tr>
      <w:tr>
        <w:tc>
          <w:tcPr>
            <w:tcW w:type="dxa" w:w="2592"/>
          </w:tcPr>
          <w:p>
            <w:r>
              <w:t>accès_internet</w:t>
            </w:r>
          </w:p>
        </w:tc>
        <w:tc>
          <w:tcPr>
            <w:tcW w:type="dxa" w:w="1440"/>
          </w:tcPr>
          <w:p>
            <w:r>
              <w:t>Binaire</w:t>
            </w:r>
          </w:p>
        </w:tc>
        <w:tc>
          <w:tcPr>
            <w:tcW w:type="dxa" w:w="3600"/>
          </w:tcPr>
          <w:p>
            <w:r>
              <w:t>Accès internet à domicile</w:t>
            </w:r>
          </w:p>
        </w:tc>
        <w:tc>
          <w:tcPr>
            <w:tcW w:type="dxa" w:w="2448"/>
          </w:tcPr>
          <w:p>
            <w:r>
              <w:t>~10 %</w:t>
            </w:r>
          </w:p>
        </w:tc>
      </w:tr>
      <w:tr>
        <w:tc>
          <w:tcPr>
            <w:tcW w:type="dxa" w:w="2592"/>
          </w:tcPr>
          <w:p>
            <w:r>
              <w:t>méthode_etude</w:t>
            </w:r>
          </w:p>
        </w:tc>
        <w:tc>
          <w:tcPr>
            <w:tcW w:type="dxa" w:w="1440"/>
          </w:tcPr>
          <w:p>
            <w:r>
              <w:t>Catég.</w:t>
            </w:r>
          </w:p>
        </w:tc>
        <w:tc>
          <w:tcPr>
            <w:tcW w:type="dxa" w:w="3600"/>
          </w:tcPr>
          <w:p>
            <w:r>
              <w:t>Méthode (visuelle, auditive…)</w:t>
            </w:r>
          </w:p>
        </w:tc>
        <w:tc>
          <w:tcPr>
            <w:tcW w:type="dxa" w:w="2448"/>
          </w:tcPr>
          <w:p>
            <w:r>
              <w:t>~7 %</w:t>
            </w:r>
          </w:p>
        </w:tc>
      </w:tr>
      <w:tr>
        <w:tc>
          <w:tcPr>
            <w:tcW w:type="dxa" w:w="2592"/>
          </w:tcPr>
          <w:p>
            <w:r>
              <w:t>assiduité</w:t>
            </w:r>
          </w:p>
        </w:tc>
        <w:tc>
          <w:tcPr>
            <w:tcW w:type="dxa" w:w="1440"/>
          </w:tcPr>
          <w:p>
            <w:r>
              <w:t>Numérique</w:t>
            </w:r>
          </w:p>
        </w:tc>
        <w:tc>
          <w:tcPr>
            <w:tcW w:type="dxa" w:w="3600"/>
          </w:tcPr>
          <w:p>
            <w:r>
              <w:t>Taux de présence en cours</w:t>
            </w:r>
          </w:p>
        </w:tc>
        <w:tc>
          <w:tcPr>
            <w:tcW w:type="dxa" w:w="2448"/>
          </w:tcPr>
          <w:p>
            <w:r>
              <w:t>0 %</w:t>
            </w:r>
          </w:p>
        </w:tc>
      </w:tr>
      <w:tr>
        <w:tc>
          <w:tcPr>
            <w:tcW w:type="dxa" w:w="2592"/>
          </w:tcPr>
          <w:p>
            <w:r>
              <w:t>niveau_stress</w:t>
            </w:r>
          </w:p>
        </w:tc>
        <w:tc>
          <w:tcPr>
            <w:tcW w:type="dxa" w:w="1440"/>
          </w:tcPr>
          <w:p>
            <w:r>
              <w:t>Ordinal</w:t>
            </w:r>
          </w:p>
        </w:tc>
        <w:tc>
          <w:tcPr>
            <w:tcW w:type="dxa" w:w="3600"/>
          </w:tcPr>
          <w:p>
            <w:r>
              <w:t>Stress perçu (1–5)</w:t>
            </w:r>
          </w:p>
        </w:tc>
        <w:tc>
          <w:tcPr>
            <w:tcW w:type="dxa" w:w="2448"/>
          </w:tcPr>
          <w:p>
            <w:r>
              <w:t>0 %</w:t>
            </w:r>
          </w:p>
        </w:tc>
      </w:tr>
      <w:tr>
        <w:tc>
          <w:tcPr>
            <w:tcW w:type="dxa" w:w="2592"/>
          </w:tcPr>
          <w:p>
            <w:r>
              <w:t>ressources</w:t>
            </w:r>
          </w:p>
        </w:tc>
        <w:tc>
          <w:tcPr>
            <w:tcW w:type="dxa" w:w="1440"/>
          </w:tcPr>
          <w:p>
            <w:r>
              <w:t>Ordinal</w:t>
            </w:r>
          </w:p>
        </w:tc>
        <w:tc>
          <w:tcPr>
            <w:tcW w:type="dxa" w:w="3600"/>
          </w:tcPr>
          <w:p>
            <w:r>
              <w:t>Accès aux ressources pédagogiques</w:t>
            </w:r>
          </w:p>
        </w:tc>
        <w:tc>
          <w:tcPr>
            <w:tcW w:type="dxa" w:w="2448"/>
          </w:tcPr>
          <w:p>
            <w:r>
              <w:t>0 %</w:t>
            </w:r>
          </w:p>
        </w:tc>
      </w:tr>
      <w:tr>
        <w:tc>
          <w:tcPr>
            <w:tcW w:type="dxa" w:w="2592"/>
          </w:tcPr>
          <w:p>
            <w:r>
              <w:t>revenu_familial</w:t>
            </w:r>
          </w:p>
        </w:tc>
        <w:tc>
          <w:tcPr>
            <w:tcW w:type="dxa" w:w="1440"/>
          </w:tcPr>
          <w:p>
            <w:r>
              <w:t>Ordinal</w:t>
            </w:r>
          </w:p>
        </w:tc>
        <w:tc>
          <w:tcPr>
            <w:tcW w:type="dxa" w:w="3600"/>
          </w:tcPr>
          <w:p>
            <w:r>
              <w:t>Niveau de revenu (bas/moyen/élevé)</w:t>
            </w:r>
          </w:p>
        </w:tc>
        <w:tc>
          <w:tcPr>
            <w:tcW w:type="dxa" w:w="2448"/>
          </w:tcPr>
          <w:p>
            <w:r>
              <w:t>0 %</w:t>
            </w:r>
          </w:p>
        </w:tc>
      </w:tr>
      <w:tr>
        <w:tc>
          <w:tcPr>
            <w:tcW w:type="dxa" w:w="2592"/>
          </w:tcPr>
          <w:p>
            <w:r>
              <w:t>qualité_sommeil</w:t>
            </w:r>
          </w:p>
        </w:tc>
        <w:tc>
          <w:tcPr>
            <w:tcW w:type="dxa" w:w="1440"/>
          </w:tcPr>
          <w:p>
            <w:r>
              <w:t>Numérique</w:t>
            </w:r>
          </w:p>
        </w:tc>
        <w:tc>
          <w:tcPr>
            <w:tcW w:type="dxa" w:w="3600"/>
          </w:tcPr>
          <w:p>
            <w:r>
              <w:t>Heures de sommeil par nuit</w:t>
            </w:r>
          </w:p>
        </w:tc>
        <w:tc>
          <w:tcPr>
            <w:tcW w:type="dxa" w:w="2448"/>
          </w:tcPr>
          <w:p>
            <w:r>
              <w:t>0 %</w:t>
            </w:r>
          </w:p>
        </w:tc>
      </w:tr>
      <w:tr>
        <w:tc>
          <w:tcPr>
            <w:tcW w:type="dxa" w:w="2592"/>
          </w:tcPr>
          <w:p>
            <w:r>
              <w:t>activités_extra</w:t>
            </w:r>
          </w:p>
        </w:tc>
        <w:tc>
          <w:tcPr>
            <w:tcW w:type="dxa" w:w="1440"/>
          </w:tcPr>
          <w:p>
            <w:r>
              <w:t>Binaire</w:t>
            </w:r>
          </w:p>
        </w:tc>
        <w:tc>
          <w:tcPr>
            <w:tcW w:type="dxa" w:w="3600"/>
          </w:tcPr>
          <w:p>
            <w:r>
              <w:t>Participation activités parascolaires</w:t>
            </w:r>
          </w:p>
        </w:tc>
        <w:tc>
          <w:tcPr>
            <w:tcW w:type="dxa" w:w="2448"/>
          </w:tcPr>
          <w:p>
            <w:r>
              <w:t>0 %</w:t>
            </w:r>
          </w:p>
        </w:tc>
      </w:tr>
    </w:tbl>
    <w:p>
      <w:pPr>
        <w:spacing w:before="40" w:after="160"/>
        <w:jc w:val="center"/>
      </w:pPr>
      <w:r>
        <w:rPr>
          <w:i/>
          <w:color w:val="606060"/>
          <w:sz w:val="18"/>
        </w:rPr>
        <w:t>Tableau 1 — Aperçu des principales variables du jeu de données</w:t>
      </w:r>
    </w:p>
    <w:p>
      <w:pPr>
        <w:pStyle w:val="Heading3"/>
        <w:jc w:val="left"/>
      </w:pPr>
      <w:r>
        <w:t>2.1.2 Distribution de la variable cible</w:t>
      </w:r>
    </w:p>
    <w:p>
      <w:pPr>
        <w:spacing w:after="120"/>
        <w:jc w:val="both"/>
      </w:pPr>
      <w:r>
        <w:t>La distribution du score final est approximativement normale, centrée autour de 67 (médiane : 66, écart-type : ~17). Le taux d'échec (score &lt; 50) est de 25,57 %, soit 161 083 élèves sur 630 000. Cette proportion justifie pleinement la mise en place d'un système de détection précoce.</w:t>
      </w:r>
    </w:p>
    <w:p>
      <w:pPr>
        <w:spacing w:after="120"/>
        <w:jc w:val="both"/>
      </w:pPr>
      <w:r>
        <w:t>Aucune asymétrie majeure n'a été détectée (skewness ≈ -0.15), ce qui exclut la nécessité d'une transformation logarithmique de la cible. La distribution KDE (Kernel Density Estimation) confirme une forme unimodale sans valeurs aberrantes extrêmes au sens statistique.</w:t>
      </w:r>
    </w:p>
    <w:p>
      <w:pPr>
        <w:pStyle w:val="Heading3"/>
        <w:jc w:val="left"/>
      </w:pPr>
      <w:r>
        <w:t>2.1.3 Analyse des corrélations</w:t>
      </w:r>
    </w:p>
    <w:p>
      <w:pPr>
        <w:spacing w:after="120"/>
        <w:jc w:val="both"/>
      </w:pPr>
      <w:r>
        <w:t>La matrice de corrélation de Pearson révèle les relations linéaires entre variables numériques. Les corrélations les plus fortes avec le score final sont :</w:t>
      </w:r>
    </w:p>
    <w:tbl>
      <w:tblPr>
        <w:tblStyle w:val="TableGrid"/>
        <w:tblW w:type="auto" w:w="0"/>
        <w:tblLook w:firstColumn="1" w:firstRow="1" w:lastColumn="0" w:lastRow="0" w:noHBand="0" w:noVBand="1" w:val="04A0"/>
      </w:tblPr>
      <w:tblGrid>
        <w:gridCol w:w="4703"/>
        <w:gridCol w:w="4703"/>
      </w:tblGrid>
      <w:tr>
        <w:tc>
          <w:tcPr>
            <w:tcW w:type="dxa" w:w="3168"/>
            <w:shd w:val="clear" w:color="auto" w:fill="D9E1F2"/>
          </w:tcPr>
          <w:p>
            <w:r>
              <w:rPr>
                <w:b/>
              </w:rPr>
              <w:t>Variable</w:t>
            </w:r>
          </w:p>
        </w:tc>
        <w:tc>
          <w:tcPr>
            <w:tcW w:type="dxa" w:w="6912"/>
            <w:shd w:val="clear" w:color="auto" w:fill="D9E1F2"/>
          </w:tcPr>
          <w:p>
            <w:r>
              <w:rPr>
                <w:b/>
              </w:rPr>
              <w:t>Corrélation avec score_final</w:t>
            </w:r>
          </w:p>
        </w:tc>
      </w:tr>
      <w:tr>
        <w:tc>
          <w:tcPr>
            <w:tcW w:type="dxa" w:w="3168"/>
          </w:tcPr>
          <w:p>
            <w:r>
              <w:t>heures_etude</w:t>
            </w:r>
          </w:p>
        </w:tc>
        <w:tc>
          <w:tcPr>
            <w:tcW w:type="dxa" w:w="6912"/>
          </w:tcPr>
          <w:p>
            <w:r>
              <w:t>r ≈ +0.45 — corrélation positive forte</w:t>
            </w:r>
          </w:p>
        </w:tc>
      </w:tr>
      <w:tr>
        <w:tc>
          <w:tcPr>
            <w:tcW w:type="dxa" w:w="3168"/>
          </w:tcPr>
          <w:p>
            <w:r>
              <w:t>assiduité</w:t>
            </w:r>
          </w:p>
        </w:tc>
        <w:tc>
          <w:tcPr>
            <w:tcW w:type="dxa" w:w="6912"/>
          </w:tcPr>
          <w:p>
            <w:r>
              <w:t>r ≈ +0.38 — présence en cours bénéfique</w:t>
            </w:r>
          </w:p>
        </w:tc>
      </w:tr>
      <w:tr>
        <w:tc>
          <w:tcPr>
            <w:tcW w:type="dxa" w:w="3168"/>
          </w:tcPr>
          <w:p>
            <w:r>
              <w:t>qualité_sommeil</w:t>
            </w:r>
          </w:p>
        </w:tc>
        <w:tc>
          <w:tcPr>
            <w:tcW w:type="dxa" w:w="6912"/>
          </w:tcPr>
          <w:p>
            <w:r>
              <w:t>r ≈ +0.22 — impact du repos sur la performance</w:t>
            </w:r>
          </w:p>
        </w:tc>
      </w:tr>
      <w:tr>
        <w:tc>
          <w:tcPr>
            <w:tcW w:type="dxa" w:w="3168"/>
          </w:tcPr>
          <w:p>
            <w:r>
              <w:t>niveau_stress</w:t>
            </w:r>
          </w:p>
        </w:tc>
        <w:tc>
          <w:tcPr>
            <w:tcW w:type="dxa" w:w="6912"/>
          </w:tcPr>
          <w:p>
            <w:r>
              <w:t>r ≈ -0.31 — stress élevé nuit aux résultats</w:t>
            </w:r>
          </w:p>
        </w:tc>
      </w:tr>
      <w:tr>
        <w:tc>
          <w:tcPr>
            <w:tcW w:type="dxa" w:w="3168"/>
          </w:tcPr>
          <w:p>
            <w:r>
              <w:t>ressources</w:t>
            </w:r>
          </w:p>
        </w:tc>
        <w:tc>
          <w:tcPr>
            <w:tcW w:type="dxa" w:w="6912"/>
          </w:tcPr>
          <w:p>
            <w:r>
              <w:t>r ≈ +0.19 — accès aux supports pédagogiques</w:t>
            </w:r>
          </w:p>
        </w:tc>
      </w:tr>
    </w:tbl>
    <w:p>
      <w:pPr>
        <w:spacing w:before="40" w:after="160"/>
        <w:jc w:val="center"/>
      </w:pPr>
      <w:r>
        <w:rPr>
          <w:i/>
          <w:color w:val="606060"/>
          <w:sz w:val="18"/>
        </w:rPr>
        <w:t>Tableau 2 — Corrélations de Pearson (sélection)</w:t>
      </w:r>
    </w:p>
    <w:p>
      <w:pPr>
        <w:pStyle w:val="Heading3"/>
        <w:jc w:val="left"/>
      </w:pPr>
      <w:r>
        <w:t>2.1.4 Analyse par variable catégorielle</w:t>
      </w:r>
    </w:p>
    <w:p>
      <w:pPr>
        <w:spacing w:after="120"/>
        <w:jc w:val="both"/>
      </w:pPr>
      <w:r>
        <w:t>Les boîtes à moustaches (boxplots) par catégorie révèlent des écarts significatifs : les élèves utilisant une méthode d'étude structurée obtiennent en moyenne 12 points de plus que ceux sans méthode définie. Les élèves avec accès à internet présentent un score médian supérieur de 8 points. Ces observations guident la sélection des variables pour la modélisation.</w:t>
      </w:r>
    </w:p>
    <w:p>
      <w:pPr>
        <w:pStyle w:val="Heading2"/>
        <w:jc w:val="left"/>
      </w:pPr>
      <w:r>
        <w:t>2.2 Sélection et Ingénierie des Variables</w:t>
      </w:r>
    </w:p>
    <w:p>
      <w:pPr>
        <w:spacing w:after="120"/>
        <w:jc w:val="both"/>
      </w:pPr>
      <w:r>
        <w:t>La sélection de variables repose sur deux approches complémentaires : la corrélation de Pearson (relations linéaires) et l'information mutuelle (MI — Mutual Information), qui capture également les dépendances non-linéaires. L'information mutuelle mesure la réduction d'incertitude sur la cible Y apportée par la connaissance d'une variable X, sans hypothèse sur la nature de la relation.</w:t>
      </w:r>
    </w:p>
    <w:p>
      <w:pPr>
        <w:pStyle w:val="Heading3"/>
        <w:jc w:val="left"/>
      </w:pPr>
      <w:r>
        <w:t>2.2.1 Classement par Information Mutuelle</w:t>
      </w:r>
    </w:p>
    <w:p>
      <w:pPr>
        <w:spacing w:after="120"/>
        <w:jc w:val="both"/>
      </w:pPr>
      <w:r>
        <w:t>Le calcul du MI (via sklearn.feature_selection.mutual_info_regression) sur l'ensemble d'entraînement donne le classement suivant :</w:t>
      </w:r>
    </w:p>
    <w:tbl>
      <w:tblPr>
        <w:tblStyle w:val="TableGrid"/>
        <w:tblW w:type="auto" w:w="0"/>
        <w:tblLook w:firstColumn="1" w:firstRow="1" w:lastColumn="0" w:lastRow="0" w:noHBand="0" w:noVBand="1" w:val="04A0"/>
      </w:tblPr>
      <w:tblGrid>
        <w:gridCol w:w="4703"/>
        <w:gridCol w:w="4703"/>
      </w:tblGrid>
      <w:tr>
        <w:tc>
          <w:tcPr>
            <w:tcW w:type="dxa" w:w="3600"/>
            <w:shd w:val="clear" w:color="auto" w:fill="D9E1F2"/>
          </w:tcPr>
          <w:p>
            <w:r>
              <w:rPr>
                <w:b/>
              </w:rPr>
              <w:t>Variable</w:t>
            </w:r>
          </w:p>
        </w:tc>
        <w:tc>
          <w:tcPr>
            <w:tcW w:type="dxa" w:w="6480"/>
            <w:shd w:val="clear" w:color="auto" w:fill="D9E1F2"/>
          </w:tcPr>
          <w:p>
            <w:r>
              <w:rPr>
                <w:b/>
              </w:rPr>
              <w:t>Score MI (approximatif)</w:t>
            </w:r>
          </w:p>
        </w:tc>
      </w:tr>
      <w:tr>
        <w:tc>
          <w:tcPr>
            <w:tcW w:type="dxa" w:w="3600"/>
          </w:tcPr>
          <w:p>
            <w:r>
              <w:t>heures_etude</w:t>
            </w:r>
          </w:p>
        </w:tc>
        <w:tc>
          <w:tcPr>
            <w:tcW w:type="dxa" w:w="6480"/>
          </w:tcPr>
          <w:p>
            <w:r>
              <w:t>MI ≈ 0.58 — variable la plus informative</w:t>
            </w:r>
          </w:p>
        </w:tc>
      </w:tr>
      <w:tr>
        <w:tc>
          <w:tcPr>
            <w:tcW w:type="dxa" w:w="3600"/>
          </w:tcPr>
          <w:p>
            <w:r>
              <w:t>assiduité</w:t>
            </w:r>
          </w:p>
        </w:tc>
        <w:tc>
          <w:tcPr>
            <w:tcW w:type="dxa" w:w="6480"/>
          </w:tcPr>
          <w:p>
            <w:r>
              <w:t>MI ≈ 0.41</w:t>
            </w:r>
          </w:p>
        </w:tc>
      </w:tr>
      <w:tr>
        <w:tc>
          <w:tcPr>
            <w:tcW w:type="dxa" w:w="3600"/>
          </w:tcPr>
          <w:p>
            <w:r>
              <w:t>ressources</w:t>
            </w:r>
          </w:p>
        </w:tc>
        <w:tc>
          <w:tcPr>
            <w:tcW w:type="dxa" w:w="6480"/>
          </w:tcPr>
          <w:p>
            <w:r>
              <w:t>MI ≈ 0.35</w:t>
            </w:r>
          </w:p>
        </w:tc>
      </w:tr>
      <w:tr>
        <w:tc>
          <w:tcPr>
            <w:tcW w:type="dxa" w:w="3600"/>
          </w:tcPr>
          <w:p>
            <w:r>
              <w:t>méthode_etude</w:t>
            </w:r>
          </w:p>
        </w:tc>
        <w:tc>
          <w:tcPr>
            <w:tcW w:type="dxa" w:w="6480"/>
          </w:tcPr>
          <w:p>
            <w:r>
              <w:t>MI ≈ 0.33</w:t>
            </w:r>
          </w:p>
        </w:tc>
      </w:tr>
      <w:tr>
        <w:tc>
          <w:tcPr>
            <w:tcW w:type="dxa" w:w="3600"/>
          </w:tcPr>
          <w:p>
            <w:r>
              <w:t>accès_internet</w:t>
            </w:r>
          </w:p>
        </w:tc>
        <w:tc>
          <w:tcPr>
            <w:tcW w:type="dxa" w:w="6480"/>
          </w:tcPr>
          <w:p>
            <w:r>
              <w:t>MI ≈ 0.29</w:t>
            </w:r>
          </w:p>
        </w:tc>
      </w:tr>
      <w:tr>
        <w:tc>
          <w:tcPr>
            <w:tcW w:type="dxa" w:w="3600"/>
          </w:tcPr>
          <w:p>
            <w:r>
              <w:t>niveau_stress</w:t>
            </w:r>
          </w:p>
        </w:tc>
        <w:tc>
          <w:tcPr>
            <w:tcW w:type="dxa" w:w="6480"/>
          </w:tcPr>
          <w:p>
            <w:r>
              <w:t>MI ≈ 0.27</w:t>
            </w:r>
          </w:p>
        </w:tc>
      </w:tr>
      <w:tr>
        <w:tc>
          <w:tcPr>
            <w:tcW w:type="dxa" w:w="3600"/>
          </w:tcPr>
          <w:p>
            <w:r>
              <w:t>qualité_sommeil</w:t>
            </w:r>
          </w:p>
        </w:tc>
        <w:tc>
          <w:tcPr>
            <w:tcW w:type="dxa" w:w="6480"/>
          </w:tcPr>
          <w:p>
            <w:r>
              <w:t>MI ≈ 0.21</w:t>
            </w:r>
          </w:p>
        </w:tc>
      </w:tr>
      <w:tr>
        <w:tc>
          <w:tcPr>
            <w:tcW w:type="dxa" w:w="3600"/>
          </w:tcPr>
          <w:p>
            <w:r>
              <w:t>revenu_familial</w:t>
            </w:r>
          </w:p>
        </w:tc>
        <w:tc>
          <w:tcPr>
            <w:tcW w:type="dxa" w:w="6480"/>
          </w:tcPr>
          <w:p>
            <w:r>
              <w:t>MI ≈ 0.18</w:t>
            </w:r>
          </w:p>
        </w:tc>
      </w:tr>
      <w:tr>
        <w:tc>
          <w:tcPr>
            <w:tcW w:type="dxa" w:w="3600"/>
          </w:tcPr>
          <w:p>
            <w:r>
              <w:t>activités_extra</w:t>
            </w:r>
          </w:p>
        </w:tc>
        <w:tc>
          <w:tcPr>
            <w:tcW w:type="dxa" w:w="6480"/>
          </w:tcPr>
          <w:p>
            <w:r>
              <w:t>MI ≈ 0.09 — faible contribution</w:t>
            </w:r>
          </w:p>
        </w:tc>
      </w:tr>
    </w:tbl>
    <w:p>
      <w:pPr>
        <w:spacing w:before="40" w:after="160"/>
        <w:jc w:val="center"/>
      </w:pPr>
      <w:r>
        <w:rPr>
          <w:i/>
          <w:color w:val="606060"/>
          <w:sz w:val="18"/>
        </w:rPr>
        <w:t>Tableau 3 — Classement des variables par Information Mutuelle</w:t>
      </w:r>
    </w:p>
    <w:p>
      <w:pPr>
        <w:pStyle w:val="Heading3"/>
        <w:jc w:val="left"/>
      </w:pPr>
      <w:r>
        <w:t>2.2.2 Variables composites créées</w:t>
      </w:r>
    </w:p>
    <w:p>
      <w:pPr>
        <w:spacing w:after="120"/>
        <w:jc w:val="both"/>
      </w:pPr>
      <w:r>
        <w:t>Trois variables composites ont été construites par ingénierie des variables (feature engineering) pour capturer des interactions entre prédicteurs :</w:t>
      </w:r>
    </w:p>
    <w:p>
      <w:pPr>
        <w:pStyle w:val="ListBullet"/>
        <w:spacing w:after="40"/>
      </w:pPr>
      <w:r>
        <w:rPr>
          <w:b/>
        </w:rPr>
        <w:t>ratio_etude_fete —</w:t>
      </w:r>
      <w:r>
        <w:t xml:space="preserve"> ratio_etude_fete = heures_etude / (heures_fete + 1) : équilibre travail/loisir. Un ratio élevé indique une priorité donnée aux études.</w:t>
      </w:r>
    </w:p>
    <w:p>
      <w:pPr>
        <w:pStyle w:val="ListBullet"/>
        <w:spacing w:after="40"/>
      </w:pPr>
      <w:r>
        <w:rPr>
          <w:b/>
        </w:rPr>
        <w:t>score_bien_etre —</w:t>
      </w:r>
      <w:r>
        <w:t xml:space="preserve"> score_bien_etre : combinaison normalisée de qualité_sommeil, niveau_stress (inversé) et santé. Capture l'état général de l'élève.</w:t>
      </w:r>
    </w:p>
    <w:p>
      <w:pPr>
        <w:pStyle w:val="ListBullet"/>
        <w:spacing w:after="40"/>
      </w:pPr>
      <w:r>
        <w:rPr>
          <w:b/>
        </w:rPr>
        <w:t>engagement —</w:t>
      </w:r>
      <w:r>
        <w:t xml:space="preserve"> engagement : indice composite d'implication scolaire (assiduité + participation activités + interactions).</w:t>
      </w:r>
    </w:p>
    <w:p>
      <w:pPr>
        <w:spacing w:after="120"/>
        <w:jc w:val="both"/>
      </w:pPr>
      <w:r>
        <w:t>Ces variables composites ont été utilisées dans l'analyse exploratoire pour enrichir l'interprétation, mais leur ajout dans les modèles n'a pas amélioré significativement le MAE (gain &lt; 0.1 point). Elles ont donc été exclues des pipelines finaux pour maintenir la simplicité et la robustesse.</w:t>
      </w:r>
    </w:p>
    <w:p>
      <w:pPr>
        <w:pStyle w:val="Heading2"/>
        <w:jc w:val="left"/>
      </w:pPr>
      <w:r>
        <w:t>2.3 Pré-traitement des Données</w:t>
      </w:r>
    </w:p>
    <w:p>
      <w:pPr>
        <w:spacing w:after="120"/>
        <w:jc w:val="both"/>
      </w:pPr>
      <w:r>
        <w:t>Le pré-traitement est implémenté via un sklearn Pipeline combinant un ColumnTransformer et le modèle. Cette architecture garantit l'absence totale de data leakage : tous les paramètres des transformateurs (médianes, catégories, moyennes du scaler) sont appris exclusivement sur l'ensemble d'entraînement, puis appliqués en mode transform sur validation et test.</w:t>
      </w:r>
    </w:p>
    <w:p>
      <w:pPr>
        <w:pStyle w:val="Heading3"/>
        <w:jc w:val="left"/>
      </w:pPr>
      <w:r>
        <w:t>2.3.1 Découpage train / validation / test</w:t>
      </w:r>
    </w:p>
    <w:p>
      <w:pPr>
        <w:spacing w:after="120"/>
        <w:jc w:val="both"/>
      </w:pPr>
      <w:r>
        <w:t>Un découpage 60/20/20 a été adopté pour disposer d'un ensemble de validation suffisamment grand pour l'ajustement des hyperparamètres et d'un test set indépendant pour l'évaluation finale. L'ordre des données est mélangé aléatoirement (random_state=42) avant le découpage.</w:t>
      </w:r>
    </w:p>
    <w:tbl>
      <w:tblPr>
        <w:tblStyle w:val="TableGrid"/>
        <w:tblW w:type="auto" w:w="0"/>
        <w:tblLook w:firstColumn="1" w:firstRow="1" w:lastColumn="0" w:lastRow="0" w:noHBand="0" w:noVBand="1" w:val="04A0"/>
      </w:tblPr>
      <w:tblGrid>
        <w:gridCol w:w="2351"/>
        <w:gridCol w:w="2351"/>
        <w:gridCol w:w="2351"/>
        <w:gridCol w:w="2351"/>
      </w:tblGrid>
      <w:tr>
        <w:tc>
          <w:tcPr>
            <w:tcW w:type="dxa" w:w="2304"/>
            <w:shd w:val="clear" w:color="auto" w:fill="D9E1F2"/>
          </w:tcPr>
          <w:p>
            <w:r>
              <w:rPr>
                <w:b/>
              </w:rPr>
              <w:t>Ensemble</w:t>
            </w:r>
          </w:p>
        </w:tc>
        <w:tc>
          <w:tcPr>
            <w:tcW w:type="dxa" w:w="1872"/>
            <w:shd w:val="clear" w:color="auto" w:fill="D9E1F2"/>
          </w:tcPr>
          <w:p>
            <w:r>
              <w:rPr>
                <w:b/>
              </w:rPr>
              <w:t>Proportion</w:t>
            </w:r>
          </w:p>
        </w:tc>
        <w:tc>
          <w:tcPr>
            <w:tcW w:type="dxa" w:w="2592"/>
            <w:shd w:val="clear" w:color="auto" w:fill="D9E1F2"/>
          </w:tcPr>
          <w:p>
            <w:r>
              <w:rPr>
                <w:b/>
              </w:rPr>
              <w:t>Taille</w:t>
            </w:r>
          </w:p>
        </w:tc>
        <w:tc>
          <w:tcPr>
            <w:tcW w:type="dxa" w:w="3312"/>
            <w:shd w:val="clear" w:color="auto" w:fill="D9E1F2"/>
          </w:tcPr>
          <w:p>
            <w:r>
              <w:rPr>
                <w:b/>
              </w:rPr>
              <w:t>Rôle</w:t>
            </w:r>
          </w:p>
        </w:tc>
      </w:tr>
      <w:tr>
        <w:tc>
          <w:tcPr>
            <w:tcW w:type="dxa" w:w="2304"/>
          </w:tcPr>
          <w:p>
            <w:r>
              <w:t>Entraînement</w:t>
            </w:r>
          </w:p>
        </w:tc>
        <w:tc>
          <w:tcPr>
            <w:tcW w:type="dxa" w:w="1872"/>
          </w:tcPr>
          <w:p>
            <w:r>
              <w:t>60 %</w:t>
            </w:r>
          </w:p>
        </w:tc>
        <w:tc>
          <w:tcPr>
            <w:tcW w:type="dxa" w:w="2592"/>
          </w:tcPr>
          <w:p>
            <w:r>
              <w:t>378 000 lignes</w:t>
            </w:r>
          </w:p>
        </w:tc>
        <w:tc>
          <w:tcPr>
            <w:tcW w:type="dxa" w:w="3312"/>
          </w:tcPr>
          <w:p>
            <w:r>
              <w:t>Ajustement des modèles</w:t>
            </w:r>
          </w:p>
        </w:tc>
      </w:tr>
      <w:tr>
        <w:tc>
          <w:tcPr>
            <w:tcW w:type="dxa" w:w="2304"/>
          </w:tcPr>
          <w:p>
            <w:r>
              <w:t>Validation</w:t>
            </w:r>
          </w:p>
        </w:tc>
        <w:tc>
          <w:tcPr>
            <w:tcW w:type="dxa" w:w="1872"/>
          </w:tcPr>
          <w:p>
            <w:r>
              <w:t>20 %</w:t>
            </w:r>
          </w:p>
        </w:tc>
        <w:tc>
          <w:tcPr>
            <w:tcW w:type="dxa" w:w="2592"/>
          </w:tcPr>
          <w:p>
            <w:r>
              <w:t>126 000 lignes</w:t>
            </w:r>
          </w:p>
        </w:tc>
        <w:tc>
          <w:tcPr>
            <w:tcW w:type="dxa" w:w="3312"/>
          </w:tcPr>
          <w:p>
            <w:r>
              <w:t>Sélection des hyperparamètres</w:t>
            </w:r>
          </w:p>
        </w:tc>
      </w:tr>
      <w:tr>
        <w:tc>
          <w:tcPr>
            <w:tcW w:type="dxa" w:w="2304"/>
          </w:tcPr>
          <w:p>
            <w:r>
              <w:t>Test</w:t>
            </w:r>
          </w:p>
        </w:tc>
        <w:tc>
          <w:tcPr>
            <w:tcW w:type="dxa" w:w="1872"/>
          </w:tcPr>
          <w:p>
            <w:r>
              <w:t>20 %</w:t>
            </w:r>
          </w:p>
        </w:tc>
        <w:tc>
          <w:tcPr>
            <w:tcW w:type="dxa" w:w="2592"/>
          </w:tcPr>
          <w:p>
            <w:r>
              <w:t>126 000 lignes</w:t>
            </w:r>
          </w:p>
        </w:tc>
        <w:tc>
          <w:tcPr>
            <w:tcW w:type="dxa" w:w="3312"/>
          </w:tcPr>
          <w:p>
            <w:r>
              <w:t>Évaluation finale (non touchée)</w:t>
            </w:r>
          </w:p>
        </w:tc>
      </w:tr>
    </w:tbl>
    <w:p>
      <w:pPr>
        <w:spacing w:before="40" w:after="160"/>
        <w:jc w:val="center"/>
      </w:pPr>
      <w:r>
        <w:rPr>
          <w:i/>
          <w:color w:val="606060"/>
          <w:sz w:val="18"/>
        </w:rPr>
        <w:t>Tableau 4 — Découpage des données</w:t>
      </w:r>
    </w:p>
    <w:p>
      <w:pPr>
        <w:pStyle w:val="Heading3"/>
        <w:jc w:val="left"/>
      </w:pPr>
      <w:r>
        <w:t>2.3.2 Pipeline de transformations</w:t>
      </w:r>
    </w:p>
    <w:p>
      <w:pPr>
        <w:spacing w:after="120"/>
        <w:jc w:val="both"/>
      </w:pPr>
      <w:r>
        <w:t>Le ColumnTransformer applique en parallèle les transformations suivantes :</w:t>
      </w:r>
    </w:p>
    <w:tbl>
      <w:tblPr>
        <w:tblStyle w:val="TableGrid"/>
        <w:tblW w:type="auto" w:w="0"/>
        <w:tblLook w:firstColumn="1" w:firstRow="1" w:lastColumn="0" w:lastRow="0" w:noHBand="0" w:noVBand="1" w:val="04A0"/>
      </w:tblPr>
      <w:tblGrid>
        <w:gridCol w:w="4703"/>
        <w:gridCol w:w="4703"/>
      </w:tblGrid>
      <w:tr>
        <w:tc>
          <w:tcPr>
            <w:tcW w:type="dxa" w:w="3168"/>
            <w:shd w:val="clear" w:color="auto" w:fill="D9E1F2"/>
          </w:tcPr>
          <w:p>
            <w:r>
              <w:rPr>
                <w:b/>
              </w:rPr>
              <w:t>Transformateur</w:t>
            </w:r>
          </w:p>
        </w:tc>
        <w:tc>
          <w:tcPr>
            <w:tcW w:type="dxa" w:w="6912"/>
            <w:shd w:val="clear" w:color="auto" w:fill="D9E1F2"/>
          </w:tcPr>
          <w:p>
            <w:r>
              <w:rPr>
                <w:b/>
              </w:rPr>
              <w:t>Application</w:t>
            </w:r>
          </w:p>
        </w:tc>
      </w:tr>
      <w:tr>
        <w:tc>
          <w:tcPr>
            <w:tcW w:type="dxa" w:w="3168"/>
          </w:tcPr>
          <w:p>
            <w:r>
              <w:t>SimpleImputer (médiane)</w:t>
            </w:r>
          </w:p>
        </w:tc>
        <w:tc>
          <w:tcPr>
            <w:tcW w:type="dxa" w:w="6912"/>
          </w:tcPr>
          <w:p>
            <w:r>
              <w:t>Variables numériques — remplace les NaN par la médiane calculée sur le train</w:t>
            </w:r>
          </w:p>
        </w:tc>
      </w:tr>
      <w:tr>
        <w:tc>
          <w:tcPr>
            <w:tcW w:type="dxa" w:w="3168"/>
          </w:tcPr>
          <w:p>
            <w:r>
              <w:t>OrdinalEncoder</w:t>
            </w:r>
          </w:p>
        </w:tc>
        <w:tc>
          <w:tcPr>
            <w:tcW w:type="dxa" w:w="6912"/>
          </w:tcPr>
          <w:p>
            <w:r>
              <w:t>Variables catégorielles ordonnées (niveau_etudes, ressources, revenu_familial)</w:t>
            </w:r>
          </w:p>
        </w:tc>
      </w:tr>
      <w:tr>
        <w:tc>
          <w:tcPr>
            <w:tcW w:type="dxa" w:w="3168"/>
          </w:tcPr>
          <w:p>
            <w:r>
              <w:t>OneHotEncoder (OHE)</w:t>
            </w:r>
          </w:p>
        </w:tc>
        <w:tc>
          <w:tcPr>
            <w:tcW w:type="dxa" w:w="6912"/>
          </w:tcPr>
          <w:p>
            <w:r>
              <w:t>Variables nominales sans ordre (méthode_etude, type_école) — crée des colonnes binaires</w:t>
            </w:r>
          </w:p>
        </w:tc>
      </w:tr>
      <w:tr>
        <w:tc>
          <w:tcPr>
            <w:tcW w:type="dxa" w:w="3168"/>
          </w:tcPr>
          <w:p>
            <w:r>
              <w:t>StandardScaler</w:t>
            </w:r>
          </w:p>
        </w:tc>
        <w:tc>
          <w:tcPr>
            <w:tcW w:type="dxa" w:w="6912"/>
          </w:tcPr>
          <w:p>
            <w:r>
              <w:t>Normalisation μ=0, σ=1 — indispensable pour la convergence du MLP</w:t>
            </w:r>
          </w:p>
        </w:tc>
      </w:tr>
    </w:tbl>
    <w:p>
      <w:pPr>
        <w:spacing w:before="40" w:after="160"/>
        <w:jc w:val="center"/>
      </w:pPr>
      <w:r>
        <w:rPr>
          <w:i/>
          <w:color w:val="606060"/>
          <w:sz w:val="18"/>
        </w:rPr>
        <w:t>Tableau 5 — Pipeline de pré-traitement</w:t>
      </w:r>
    </w:p>
    <w:p>
      <w:pPr>
        <w:pStyle w:val="Heading2"/>
        <w:jc w:val="left"/>
      </w:pPr>
      <w:r>
        <w:t>2.4 Comparaison des Modèles et Hyperparamètres</w:t>
      </w:r>
    </w:p>
    <w:p>
      <w:pPr>
        <w:spacing w:after="120"/>
        <w:jc w:val="both"/>
      </w:pPr>
      <w:r>
        <w:t>Cinq modèles de complexité croissante ont été entraînés et comparés. La métrique principale est la MAE (Mean Absolute Error — Erreur Absolue Moyenne), qui exprime l'erreur de prédiction en points sur 100 et est facilement interprétable par un non-spécialiste. La RMSE (Root Mean Squared Error) est utilisée comme critère d'arrêt précoce pour XGBoost car elle pénalise davantage les grandes erreurs.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168"/>
            <w:shd w:val="clear" w:color="auto" w:fill="D9E1F2"/>
          </w:tcPr>
          <w:p>
            <w:r>
              <w:rPr>
                <w:b/>
              </w:rPr>
              <w:t>Modèle</w:t>
            </w:r>
          </w:p>
        </w:tc>
        <w:tc>
          <w:tcPr>
            <w:tcW w:type="dxa" w:w="1728"/>
            <w:shd w:val="clear" w:color="auto" w:fill="D9E1F2"/>
          </w:tcPr>
          <w:p>
            <w:r>
              <w:rPr>
                <w:b/>
              </w:rPr>
              <w:t>Type</w:t>
            </w:r>
          </w:p>
        </w:tc>
        <w:tc>
          <w:tcPr>
            <w:tcW w:type="dxa" w:w="1584"/>
            <w:shd w:val="clear" w:color="auto" w:fill="D9E1F2"/>
          </w:tcPr>
          <w:p>
            <w:r>
              <w:rPr>
                <w:b/>
              </w:rPr>
              <w:t>Val MAE</w:t>
            </w:r>
          </w:p>
        </w:tc>
        <w:tc>
          <w:tcPr>
            <w:tcW w:type="dxa" w:w="1584"/>
            <w:shd w:val="clear" w:color="auto" w:fill="D9E1F2"/>
          </w:tcPr>
          <w:p>
            <w:r>
              <w:rPr>
                <w:b/>
              </w:rPr>
              <w:t>Test MAE</w:t>
            </w:r>
          </w:p>
        </w:tc>
        <w:tc>
          <w:tcPr>
            <w:tcW w:type="dxa" w:w="2304"/>
            <w:shd w:val="clear" w:color="auto" w:fill="D9E1F2"/>
          </w:tcPr>
          <w:p>
            <w:r>
              <w:rPr>
                <w:b/>
              </w:rPr>
              <w:t>Temps entraînement</w:t>
            </w:r>
          </w:p>
        </w:tc>
      </w:tr>
      <w:tr>
        <w:tc>
          <w:tcPr>
            <w:tcW w:type="dxa" w:w="3168"/>
          </w:tcPr>
          <w:p>
            <w:r>
              <w:t>Baseline (médiane du train)</w:t>
            </w:r>
          </w:p>
        </w:tc>
        <w:tc>
          <w:tcPr>
            <w:tcW w:type="dxa" w:w="1728"/>
          </w:tcPr>
          <w:p>
            <w:r>
              <w:t>Naïf</w:t>
            </w:r>
          </w:p>
        </w:tc>
        <w:tc>
          <w:tcPr>
            <w:tcW w:type="dxa" w:w="1584"/>
          </w:tcPr>
          <w:p>
            <w:r>
              <w:t>18.85</w:t>
            </w:r>
          </w:p>
        </w:tc>
        <w:tc>
          <w:tcPr>
            <w:tcW w:type="dxa" w:w="1584"/>
          </w:tcPr>
          <w:p>
            <w:r>
              <w:t>—</w:t>
            </w:r>
          </w:p>
        </w:tc>
        <w:tc>
          <w:tcPr>
            <w:tcW w:type="dxa" w:w="2304"/>
          </w:tcPr>
          <w:p>
            <w:r>
              <w:t>&lt; 1 s</w:t>
            </w:r>
          </w:p>
        </w:tc>
      </w:tr>
      <w:tr>
        <w:tc>
          <w:tcPr>
            <w:tcW w:type="dxa" w:w="3168"/>
          </w:tcPr>
          <w:p>
            <w:r>
              <w:t>Régression Linéaire</w:t>
            </w:r>
          </w:p>
        </w:tc>
        <w:tc>
          <w:tcPr>
            <w:tcW w:type="dxa" w:w="1728"/>
          </w:tcPr>
          <w:p>
            <w:r>
              <w:t>Linéaire</w:t>
            </w:r>
          </w:p>
        </w:tc>
        <w:tc>
          <w:tcPr>
            <w:tcW w:type="dxa" w:w="1584"/>
          </w:tcPr>
          <w:p>
            <w:r>
              <w:t>9.12</w:t>
            </w:r>
          </w:p>
        </w:tc>
        <w:tc>
          <w:tcPr>
            <w:tcW w:type="dxa" w:w="1584"/>
          </w:tcPr>
          <w:p>
            <w:r>
              <w:t>—</w:t>
            </w:r>
          </w:p>
        </w:tc>
        <w:tc>
          <w:tcPr>
            <w:tcW w:type="dxa" w:w="2304"/>
          </w:tcPr>
          <w:p>
            <w:r>
              <w:t>~5 s</w:t>
            </w:r>
          </w:p>
        </w:tc>
      </w:tr>
      <w:tr>
        <w:tc>
          <w:tcPr>
            <w:tcW w:type="dxa" w:w="3168"/>
          </w:tcPr>
          <w:p>
            <w:r>
              <w:t>Random Forest (n=50)</w:t>
            </w:r>
          </w:p>
        </w:tc>
        <w:tc>
          <w:tcPr>
            <w:tcW w:type="dxa" w:w="1728"/>
          </w:tcPr>
          <w:p>
            <w:r>
              <w:t>Bagging</w:t>
            </w:r>
          </w:p>
        </w:tc>
        <w:tc>
          <w:tcPr>
            <w:tcW w:type="dxa" w:w="1584"/>
          </w:tcPr>
          <w:p>
            <w:r>
              <w:t>7.51</w:t>
            </w:r>
          </w:p>
        </w:tc>
        <w:tc>
          <w:tcPr>
            <w:tcW w:type="dxa" w:w="1584"/>
          </w:tcPr>
          <w:p>
            <w:r>
              <w:t>—</w:t>
            </w:r>
          </w:p>
        </w:tc>
        <w:tc>
          <w:tcPr>
            <w:tcW w:type="dxa" w:w="2304"/>
          </w:tcPr>
          <w:p>
            <w:r>
              <w:t>~2 min</w:t>
            </w:r>
          </w:p>
        </w:tc>
      </w:tr>
      <w:tr>
        <w:tc>
          <w:tcPr>
            <w:tcW w:type="dxa" w:w="3168"/>
            <w:shd w:val="clear" w:color="auto" w:fill="E2EFDA"/>
          </w:tcPr>
          <w:p>
            <w:r>
              <w:t>XGBoost (early stop)</w:t>
            </w:r>
          </w:p>
        </w:tc>
        <w:tc>
          <w:tcPr>
            <w:tcW w:type="dxa" w:w="1728"/>
            <w:shd w:val="clear" w:color="auto" w:fill="E2EFDA"/>
          </w:tcPr>
          <w:p>
            <w:r>
              <w:t>Boosting</w:t>
            </w:r>
          </w:p>
        </w:tc>
        <w:tc>
          <w:tcPr>
            <w:tcW w:type="dxa" w:w="1584"/>
            <w:shd w:val="clear" w:color="auto" w:fill="E2EFDA"/>
          </w:tcPr>
          <w:p>
            <w:r>
              <w:t>7.24</w:t>
            </w:r>
          </w:p>
        </w:tc>
        <w:tc>
          <w:tcPr>
            <w:tcW w:type="dxa" w:w="1584"/>
            <w:shd w:val="clear" w:color="auto" w:fill="E2EFDA"/>
          </w:tcPr>
          <w:p>
            <w:r>
              <w:t>7.22</w:t>
            </w:r>
          </w:p>
        </w:tc>
        <w:tc>
          <w:tcPr>
            <w:tcW w:type="dxa" w:w="2304"/>
            <w:shd w:val="clear" w:color="auto" w:fill="E2EFDA"/>
          </w:tcPr>
          <w:p>
            <w:r>
              <w:t>~5 min</w:t>
            </w:r>
          </w:p>
        </w:tc>
      </w:tr>
      <w:tr>
        <w:tc>
          <w:tcPr>
            <w:tcW w:type="dxa" w:w="3168"/>
          </w:tcPr>
          <w:p>
            <w:r>
              <w:t>MLP sklearn (128-64)</w:t>
            </w:r>
          </w:p>
        </w:tc>
        <w:tc>
          <w:tcPr>
            <w:tcW w:type="dxa" w:w="1728"/>
          </w:tcPr>
          <w:p>
            <w:r>
              <w:t>Deep L.</w:t>
            </w:r>
          </w:p>
        </w:tc>
        <w:tc>
          <w:tcPr>
            <w:tcW w:type="dxa" w:w="1584"/>
          </w:tcPr>
          <w:p>
            <w:r>
              <w:t>8.10</w:t>
            </w:r>
          </w:p>
        </w:tc>
        <w:tc>
          <w:tcPr>
            <w:tcW w:type="dxa" w:w="1584"/>
          </w:tcPr>
          <w:p>
            <w:r>
              <w:t>—</w:t>
            </w:r>
          </w:p>
        </w:tc>
        <w:tc>
          <w:tcPr>
            <w:tcW w:type="dxa" w:w="2304"/>
          </w:tcPr>
          <w:p>
            <w:r>
              <w:t>~3 min</w:t>
            </w:r>
          </w:p>
        </w:tc>
      </w:tr>
    </w:tbl>
    <w:p>
      <w:pPr>
        <w:spacing w:before="40" w:after="160"/>
        <w:jc w:val="center"/>
      </w:pPr>
      <w:r>
        <w:rPr>
          <w:i/>
          <w:color w:val="606060"/>
          <w:sz w:val="18"/>
        </w:rPr>
        <w:t>Tableau 6 — Comparaison des modèles (ligne verte = meilleur modèle)</w:t>
      </w:r>
    </w:p>
    <w:p>
      <w:pPr>
        <w:pStyle w:val="Heading3"/>
        <w:jc w:val="left"/>
      </w:pPr>
      <w:r>
        <w:t>2.4.1 Baseline</w:t>
      </w:r>
    </w:p>
    <w:p>
      <w:pPr>
        <w:spacing w:after="120"/>
        <w:jc w:val="both"/>
      </w:pPr>
      <w:r>
        <w:t>La baseline prédit systématiquement la médiane du score d'entraînement pour toute observation. Elle sert de référence minimale : tout modèle utile doit la surpasser. La baseline obtient un Val MAE de 18.85, ce qui signifie qu'en moyenne les prédictions sont à ±18.85 points du score réel sans aucune information contextuelle.</w:t>
      </w:r>
    </w:p>
    <w:p>
      <w:pPr>
        <w:pStyle w:val="Heading3"/>
        <w:jc w:val="left"/>
      </w:pPr>
      <w:r>
        <w:t>2.4.2 Régression Linéaire</w:t>
      </w:r>
    </w:p>
    <w:p>
      <w:pPr>
        <w:spacing w:after="120"/>
        <w:jc w:val="both"/>
      </w:pPr>
      <w:r>
        <w:t>La régression linéaire (OLS) constitue le premier modèle de référence avec apprentissage. Elle suppose une relation linéaire entre les prédicteurs et la cible. Son Val MAE de 9.12 représente une réduction de 52 % par rapport à la baseline, ce qui confirme que les variables sélectionnées contiennent une information prédictive substantielle. Les résidus présentent cependant une légère hétéroscédasticité, indiquant que la relation n'est pas purement linéaire.</w:t>
      </w:r>
    </w:p>
    <w:p>
      <w:pPr>
        <w:pStyle w:val="Heading3"/>
        <w:jc w:val="left"/>
      </w:pPr>
      <w:r>
        <w:t>2.4.3 Random Forest</w:t>
      </w:r>
    </w:p>
    <w:p>
      <w:pPr>
        <w:spacing w:after="120"/>
        <w:jc w:val="both"/>
      </w:pPr>
      <w:r>
        <w:t>Le Random Forest est un algorithme de bagging qui agrège les prédictions de N arbres de décision entraînés sur des sous-ensembles aléatoires des données et des variables. Il est naturellement robuste au surapprentissage. Avec n_estimators=50 et max_features='sqrt', il obtient un Val MAE de 7.51, soit une amélioration de 17.6 % par rapport à la régression linéaire.</w:t>
      </w:r>
    </w:p>
    <w:p>
      <w:pPr>
        <w:pStyle w:val="Heading3"/>
        <w:jc w:val="left"/>
      </w:pPr>
      <w:r>
        <w:t>2.4.4 XGBoost — meilleur modèle</w:t>
      </w:r>
    </w:p>
    <w:p>
      <w:pPr>
        <w:spacing w:after="120"/>
        <w:jc w:val="both"/>
      </w:pPr>
      <w:r>
        <w:t>XGBoost (eXtreme Gradient Boosting) construit des arbres de manière séquentielle, chaque nouvel arbre cherchant à corriger les résidus du modèle précédent (boosting par gradient). L'arrêt précoce (early stopping) interrompt l'entraînement lorsque la RMSE de validation ne s'améliore plus pendant 10 rounds consécutifs, ce qui prévient le surapprentissage tout en optimisant le nombre d'itérations.</w:t>
      </w:r>
    </w:p>
    <w:tbl>
      <w:tblPr>
        <w:tblStyle w:val="TableGrid"/>
        <w:tblW w:type="auto" w:w="0"/>
        <w:tblLook w:firstColumn="1" w:firstRow="1" w:lastColumn="0" w:lastRow="0" w:noHBand="0" w:noVBand="1" w:val="04A0"/>
      </w:tblPr>
      <w:tblGrid>
        <w:gridCol w:w="4703"/>
        <w:gridCol w:w="4703"/>
      </w:tblGrid>
      <w:tr>
        <w:tc>
          <w:tcPr>
            <w:tcW w:type="dxa" w:w="4320"/>
            <w:shd w:val="clear" w:color="auto" w:fill="D9E1F2"/>
          </w:tcPr>
          <w:p>
            <w:r>
              <w:rPr>
                <w:b/>
              </w:rPr>
              <w:t>Hyperparamètre / Résultat</w:t>
            </w:r>
          </w:p>
        </w:tc>
        <w:tc>
          <w:tcPr>
            <w:tcW w:type="dxa" w:w="5760"/>
            <w:shd w:val="clear" w:color="auto" w:fill="D9E1F2"/>
          </w:tcPr>
          <w:p>
            <w:r>
              <w:rPr>
                <w:b/>
              </w:rPr>
              <w:t>Valeur</w:t>
            </w:r>
          </w:p>
        </w:tc>
      </w:tr>
      <w:tr>
        <w:tc>
          <w:tcPr>
            <w:tcW w:type="dxa" w:w="4320"/>
          </w:tcPr>
          <w:p>
            <w:r>
              <w:t>n_estimators</w:t>
            </w:r>
          </w:p>
        </w:tc>
        <w:tc>
          <w:tcPr>
            <w:tcW w:type="dxa" w:w="5760"/>
          </w:tcPr>
          <w:p>
            <w:r>
              <w:t>500 (limité par early stopping)</w:t>
            </w:r>
          </w:p>
        </w:tc>
      </w:tr>
      <w:tr>
        <w:tc>
          <w:tcPr>
            <w:tcW w:type="dxa" w:w="4320"/>
          </w:tcPr>
          <w:p>
            <w:r>
              <w:t>max_depth</w:t>
            </w:r>
          </w:p>
        </w:tc>
        <w:tc>
          <w:tcPr>
            <w:tcW w:type="dxa" w:w="5760"/>
          </w:tcPr>
          <w:p>
            <w:r>
              <w:t>6 — profondeur maximale des arbres</w:t>
            </w:r>
          </w:p>
        </w:tc>
      </w:tr>
      <w:tr>
        <w:tc>
          <w:tcPr>
            <w:tcW w:type="dxa" w:w="4320"/>
          </w:tcPr>
          <w:p>
            <w:r>
              <w:t>learning_rate</w:t>
            </w:r>
          </w:p>
        </w:tc>
        <w:tc>
          <w:tcPr>
            <w:tcW w:type="dxa" w:w="5760"/>
          </w:tcPr>
          <w:p>
            <w:r>
              <w:t>0.1 — taux d'apprentissage</w:t>
            </w:r>
          </w:p>
        </w:tc>
      </w:tr>
      <w:tr>
        <w:tc>
          <w:tcPr>
            <w:tcW w:type="dxa" w:w="4320"/>
          </w:tcPr>
          <w:p>
            <w:r>
              <w:t>subsample</w:t>
            </w:r>
          </w:p>
        </w:tc>
        <w:tc>
          <w:tcPr>
            <w:tcW w:type="dxa" w:w="5760"/>
          </w:tcPr>
          <w:p>
            <w:r>
              <w:t>0.8 — fraction des lignes par arbre</w:t>
            </w:r>
          </w:p>
        </w:tc>
      </w:tr>
      <w:tr>
        <w:tc>
          <w:tcPr>
            <w:tcW w:type="dxa" w:w="4320"/>
          </w:tcPr>
          <w:p>
            <w:r>
              <w:t>colsample_bytree</w:t>
            </w:r>
          </w:p>
        </w:tc>
        <w:tc>
          <w:tcPr>
            <w:tcW w:type="dxa" w:w="5760"/>
          </w:tcPr>
          <w:p>
            <w:r>
              <w:t>0.8 — fraction des colonnes par arbre</w:t>
            </w:r>
          </w:p>
        </w:tc>
      </w:tr>
      <w:tr>
        <w:tc>
          <w:tcPr>
            <w:tcW w:type="dxa" w:w="4320"/>
          </w:tcPr>
          <w:p>
            <w:r>
              <w:t>early_stopping_rounds</w:t>
            </w:r>
          </w:p>
        </w:tc>
        <w:tc>
          <w:tcPr>
            <w:tcW w:type="dxa" w:w="5760"/>
          </w:tcPr>
          <w:p>
            <w:r>
              <w:t>10 — arrêt si pas d'amélioration</w:t>
            </w:r>
          </w:p>
        </w:tc>
      </w:tr>
      <w:tr>
        <w:tc>
          <w:tcPr>
            <w:tcW w:type="dxa" w:w="4320"/>
          </w:tcPr>
          <w:p>
            <w:r>
              <w:t>eval_metric</w:t>
            </w:r>
          </w:p>
        </w:tc>
        <w:tc>
          <w:tcPr>
            <w:tcW w:type="dxa" w:w="5760"/>
          </w:tcPr>
          <w:p>
            <w:r>
              <w:t>RMSE sur l'ensemble de validation</w:t>
            </w:r>
          </w:p>
        </w:tc>
      </w:tr>
      <w:tr>
        <w:tc>
          <w:tcPr>
            <w:tcW w:type="dxa" w:w="4320"/>
          </w:tcPr>
          <w:p>
            <w:r>
              <w:t>Val MAE</w:t>
            </w:r>
          </w:p>
        </w:tc>
        <w:tc>
          <w:tcPr>
            <w:tcW w:type="dxa" w:w="5760"/>
          </w:tcPr>
          <w:p>
            <w:r>
              <w:t>7.2407</w:t>
            </w:r>
          </w:p>
        </w:tc>
      </w:tr>
      <w:tr>
        <w:tc>
          <w:tcPr>
            <w:tcW w:type="dxa" w:w="4320"/>
          </w:tcPr>
          <w:p>
            <w:r>
              <w:t>Test MAE</w:t>
            </w:r>
          </w:p>
        </w:tc>
        <w:tc>
          <w:tcPr>
            <w:tcW w:type="dxa" w:w="5760"/>
          </w:tcPr>
          <w:p>
            <w:r>
              <w:t>7.2230 ← évaluation finale</w:t>
            </w:r>
          </w:p>
        </w:tc>
      </w:tr>
    </w:tbl>
    <w:p>
      <w:pPr>
        <w:spacing w:before="40" w:after="160"/>
        <w:jc w:val="center"/>
      </w:pPr>
      <w:r>
        <w:rPr>
          <w:i/>
          <w:color w:val="606060"/>
          <w:sz w:val="18"/>
        </w:rPr>
        <w:t>Tableau 7 — Hyperparamètres et résultats XGBoost</w:t>
      </w:r>
    </w:p>
    <w:p>
      <w:pPr>
        <w:pStyle w:val="Heading3"/>
        <w:jc w:val="left"/>
      </w:pPr>
      <w:r>
        <w:t>2.4.5 MLP — réseau de neurones</w:t>
      </w:r>
    </w:p>
    <w:p>
      <w:pPr>
        <w:spacing w:after="120"/>
        <w:jc w:val="both"/>
      </w:pPr>
      <w:r>
        <w:t>Un MLP (Multi-Layer Perceptron) avec deux couches cachées (128 et 64 neurones), activation ReLU et optimiseur Adam (lr=0.001) a été inclus pour répondre à l'exigence de la grille d'évaluation (deep learning). Il requiert un StandardScaler en amont car le gradient descent converge mal sur des données non normalisées. Son Val MAE de 8.10 est inférieur à XGBoost, probablement parce que les données tabulaires bénéficient davantage du boosting.</w:t>
      </w:r>
    </w:p>
    <w:p>
      <w:pPr>
        <w:pStyle w:val="Heading2"/>
        <w:jc w:val="left"/>
      </w:pPr>
      <w:r>
        <w:t>2.5 Validation Croisée</w:t>
      </w:r>
    </w:p>
    <w:p>
      <w:pPr>
        <w:spacing w:after="120"/>
        <w:jc w:val="both"/>
      </w:pPr>
      <w:r>
        <w:t>Une validation croisée stratifiée à 5 plis (5-fold stratified cross-validation) a été réalisée sur un sous-ensemble de 60 000 lignes via un sklearn Pipeline complet (pré-traitement + modèle). La stratification garantit que la distribution des scores est représentative dans chaque pli, ce qui est crucial pour des estimations fiables de la performance.</w:t>
      </w:r>
    </w:p>
    <w:p>
      <w:pPr>
        <w:spacing w:after="120"/>
        <w:jc w:val="both"/>
      </w:pPr>
      <w:r>
        <w:t>La CV est réalisée sur un sous-ensemble pour limiter le temps de calcul, mais ce sous-ensemble est suffisamment grand pour être représentatif (60 000 / 630 000 ≈ 9.5 % du dataset).</w:t>
      </w:r>
    </w:p>
    <w:tbl>
      <w:tblPr>
        <w:tblStyle w:val="TableGrid"/>
        <w:tblW w:type="auto" w:w="0"/>
        <w:tblLook w:firstColumn="1" w:firstRow="1" w:lastColumn="0" w:lastRow="0" w:noHBand="0" w:noVBand="1" w:val="04A0"/>
      </w:tblPr>
      <w:tblGrid>
        <w:gridCol w:w="2351"/>
        <w:gridCol w:w="2351"/>
        <w:gridCol w:w="2351"/>
        <w:gridCol w:w="2351"/>
      </w:tblGrid>
      <w:tr>
        <w:tc>
          <w:tcPr>
            <w:tcW w:type="dxa" w:w="2880"/>
            <w:shd w:val="clear" w:color="auto" w:fill="D9E1F2"/>
          </w:tcPr>
          <w:p>
            <w:r>
              <w:rPr>
                <w:b/>
              </w:rPr>
              <w:t>Modèle</w:t>
            </w:r>
          </w:p>
        </w:tc>
        <w:tc>
          <w:tcPr>
            <w:tcW w:type="dxa" w:w="2592"/>
            <w:shd w:val="clear" w:color="auto" w:fill="D9E1F2"/>
          </w:tcPr>
          <w:p>
            <w:r>
              <w:rPr>
                <w:b/>
              </w:rPr>
              <w:t>CV MAE (moyenne)</w:t>
            </w:r>
          </w:p>
        </w:tc>
        <w:tc>
          <w:tcPr>
            <w:tcW w:type="dxa" w:w="2880"/>
            <w:shd w:val="clear" w:color="auto" w:fill="D9E1F2"/>
          </w:tcPr>
          <w:p>
            <w:r>
              <w:rPr>
                <w:b/>
              </w:rPr>
              <w:t>CV MAE (écart-type)</w:t>
            </w:r>
          </w:p>
        </w:tc>
        <w:tc>
          <w:tcPr>
            <w:tcW w:type="dxa" w:w="2880"/>
            <w:shd w:val="clear" w:color="auto" w:fill="D9E1F2"/>
          </w:tcPr>
          <w:p>
            <w:r>
              <w:rPr>
                <w:b/>
              </w:rPr>
              <w:t>Interprétation</w:t>
            </w:r>
          </w:p>
        </w:tc>
      </w:tr>
      <w:tr>
        <w:tc>
          <w:tcPr>
            <w:tcW w:type="dxa" w:w="2880"/>
          </w:tcPr>
          <w:p>
            <w:r>
              <w:t>Régression Linéaire</w:t>
            </w:r>
          </w:p>
        </w:tc>
        <w:tc>
          <w:tcPr>
            <w:tcW w:type="dxa" w:w="2592"/>
          </w:tcPr>
          <w:p>
            <w:r>
              <w:t>9.18</w:t>
            </w:r>
          </w:p>
        </w:tc>
        <w:tc>
          <w:tcPr>
            <w:tcW w:type="dxa" w:w="2880"/>
          </w:tcPr>
          <w:p>
            <w:r>
              <w:t>±0.08</w:t>
            </w:r>
          </w:p>
        </w:tc>
        <w:tc>
          <w:tcPr>
            <w:tcW w:type="dxa" w:w="2880"/>
          </w:tcPr>
          <w:p>
            <w:r>
              <w:t>Stable, légèrement biaisé</w:t>
            </w:r>
          </w:p>
        </w:tc>
      </w:tr>
      <w:tr>
        <w:tc>
          <w:tcPr>
            <w:tcW w:type="dxa" w:w="2880"/>
          </w:tcPr>
          <w:p>
            <w:r>
              <w:t>Random Forest</w:t>
            </w:r>
          </w:p>
        </w:tc>
        <w:tc>
          <w:tcPr>
            <w:tcW w:type="dxa" w:w="2592"/>
          </w:tcPr>
          <w:p>
            <w:r>
              <w:t>7.58</w:t>
            </w:r>
          </w:p>
        </w:tc>
        <w:tc>
          <w:tcPr>
            <w:tcW w:type="dxa" w:w="2880"/>
          </w:tcPr>
          <w:p>
            <w:r>
              <w:t>±0.06</w:t>
            </w:r>
          </w:p>
        </w:tc>
        <w:tc>
          <w:tcPr>
            <w:tcW w:type="dxa" w:w="2880"/>
          </w:tcPr>
          <w:p>
            <w:r>
              <w:t>Bonne généralisation</w:t>
            </w:r>
          </w:p>
        </w:tc>
      </w:tr>
      <w:tr>
        <w:tc>
          <w:tcPr>
            <w:tcW w:type="dxa" w:w="2880"/>
            <w:shd w:val="clear" w:color="auto" w:fill="E2EFDA"/>
          </w:tcPr>
          <w:p>
            <w:r>
              <w:t>XGBoost</w:t>
            </w:r>
          </w:p>
        </w:tc>
        <w:tc>
          <w:tcPr>
            <w:tcW w:type="dxa" w:w="2592"/>
            <w:shd w:val="clear" w:color="auto" w:fill="E2EFDA"/>
          </w:tcPr>
          <w:p>
            <w:r>
              <w:t>7.3022</w:t>
            </w:r>
          </w:p>
        </w:tc>
        <w:tc>
          <w:tcPr>
            <w:tcW w:type="dxa" w:w="2880"/>
            <w:shd w:val="clear" w:color="auto" w:fill="E2EFDA"/>
          </w:tcPr>
          <w:p>
            <w:r>
              <w:t>±0.0405</w:t>
            </w:r>
          </w:p>
        </w:tc>
        <w:tc>
          <w:tcPr>
            <w:tcW w:type="dxa" w:w="2880"/>
            <w:shd w:val="clear" w:color="auto" w:fill="E2EFDA"/>
          </w:tcPr>
          <w:p>
            <w:r>
              <w:t>Meilleur + très stable</w:t>
            </w:r>
          </w:p>
        </w:tc>
      </w:tr>
      <w:tr>
        <w:tc>
          <w:tcPr>
            <w:tcW w:type="dxa" w:w="2880"/>
          </w:tcPr>
          <w:p>
            <w:r>
              <w:t>MLP</w:t>
            </w:r>
          </w:p>
        </w:tc>
        <w:tc>
          <w:tcPr>
            <w:tcW w:type="dxa" w:w="2592"/>
          </w:tcPr>
          <w:p>
            <w:r>
              <w:t>8.21</w:t>
            </w:r>
          </w:p>
        </w:tc>
        <w:tc>
          <w:tcPr>
            <w:tcW w:type="dxa" w:w="2880"/>
          </w:tcPr>
          <w:p>
            <w:r>
              <w:t>±0.12</w:t>
            </w:r>
          </w:p>
        </w:tc>
        <w:tc>
          <w:tcPr>
            <w:tcW w:type="dxa" w:w="2880"/>
          </w:tcPr>
          <w:p>
            <w:r>
              <w:t>Plus variable</w:t>
            </w:r>
          </w:p>
        </w:tc>
      </w:tr>
    </w:tbl>
    <w:p>
      <w:pPr>
        <w:spacing w:before="40" w:after="160"/>
        <w:jc w:val="center"/>
      </w:pPr>
      <w:r>
        <w:rPr>
          <w:i/>
          <w:color w:val="606060"/>
          <w:sz w:val="18"/>
        </w:rPr>
        <w:t>Tableau 8 — Résultats de validation croisée 5-fold (60 000 lignes)</w:t>
      </w:r>
    </w:p>
    <w:p>
      <w:pPr>
        <w:spacing w:after="120"/>
        <w:jc w:val="both"/>
      </w:pPr>
      <w:r>
        <w:t>Le faible écart-type du XGBoost (±0.0405) indique une excellente stabilité de la performance entre les plis, signe d'une bonne généralisation. Le MLP présente une variance plus élevée (±0.12), suggérant une sensibilité plus grande à la composition des données d'entraînement.</w:t>
      </w:r>
    </w:p>
    <w:p>
      <w:pPr>
        <w:pStyle w:val="Heading2"/>
        <w:jc w:val="left"/>
      </w:pPr>
      <w:r>
        <w:t>2.6 Résultats et Discussion</w:t>
      </w:r>
    </w:p>
    <w:p>
      <w:pPr>
        <w:spacing w:after="120"/>
        <w:jc w:val="both"/>
      </w:pPr>
      <w:r>
        <w:t>XGBoost surpasse tous les autres modèles avec un Test MAE final de 7.22 points. Cela signifie qu'en moyenne, la prédiction s'écarte de ±7.22 points du score réel sur des données jamais vues pendant l'entraînement. La réduction par rapport à la baseline (18.85 → 7.22) représente une amélioration relative de 61.7 %.</w:t>
      </w:r>
    </w:p>
    <w:p>
      <w:pPr>
        <w:spacing w:after="120"/>
        <w:jc w:val="both"/>
      </w:pPr>
      <w:r>
        <w:t>L'analyse de l'importance des variables selon XGBoost (gain moyen par variable) confirme les résultats de l'analyse MI : heures_etude, assiduité et accès_internet sont les trois contributeurs principaux à la réduction du MAE.</w:t>
      </w:r>
    </w:p>
    <w:tbl>
      <w:tblPr>
        <w:tblStyle w:val="TableGrid"/>
        <w:tblW w:type="auto" w:w="0"/>
        <w:tblLook w:firstColumn="1" w:firstRow="1" w:lastColumn="0" w:lastRow="0" w:noHBand="0" w:noVBand="1" w:val="04A0"/>
      </w:tblPr>
      <w:tblGrid>
        <w:gridCol w:w="9406"/>
      </w:tblGrid>
      <w:tr>
        <w:tc>
          <w:tcPr>
            <w:tcW w:type="dxa" w:w="9406"/>
            <w:shd w:val="clear" w:color="auto" w:fill="FFF2CC"/>
          </w:tcPr>
          <w:p>
            <w:r>
              <w:rPr>
                <w:i/>
                <w:sz w:val="20"/>
              </w:rPr>
              <w:t>Interprétabilité : un Test MAE de 7.22 sur 100 points signifie que pour un élève dont le score réel est 55 (zone à risque), le modèle prédit entre 47.78 et 62.22 avec une précision suffisante pour déclencher une alerte pédagogique.</w:t>
            </w:r>
          </w:p>
        </w:tc>
      </w:tr>
    </w:tbl>
    <w:p>
      <w:pPr>
        <w:spacing w:after="0" w:before="0"/>
      </w:pPr>
    </w:p>
    <w:p>
      <w:pPr>
        <w:spacing w:after="120"/>
        <w:jc w:val="both"/>
      </w:pPr>
      <w:r>
        <w:t>Limites identifiées : (1) le modèle suppose que les variables sont mesurées avant l'examen, ce qui doit être vérifié dans un déploiement réel ; (2) les données proviennent d'une seule institution — une validation externe sur d'autres établissements est nécessaire avant généralisation ; (3) le modèle ne capture pas la dynamique temporelle (évolution du score au cours de l'année) — une architecture LSTM pourrait être explorée.</w:t>
      </w:r>
    </w:p>
    <w:p>
      <w:pPr>
        <w:pStyle w:val="Heading1"/>
        <w:jc w:val="left"/>
      </w:pPr>
      <w:r>
        <w:rPr>
          <w:color w:val="1F497D"/>
        </w:rPr>
        <w:t>3. Partie 2 — Correction Automatique par OCR</w:t>
      </w:r>
    </w:p>
    <w:p>
      <w:pPr>
        <w:pStyle w:val="Heading2"/>
        <w:jc w:val="left"/>
      </w:pPr>
      <w:r>
        <w:t>3.1 Jeu de Données EMNIST</w:t>
      </w:r>
    </w:p>
    <w:p>
      <w:pPr>
        <w:spacing w:after="120"/>
        <w:jc w:val="both"/>
      </w:pPr>
      <w:r>
        <w:t>EMNIST (Extended MNIST) est un jeu de données public de référence pour la reconnaissance de caractères manuscrits, publié par Cohen et al. (2017). Il étend le célèbre MNIST (chiffres uniquement) aux lettres majuscules et minuscules, offrant 62 classes alphanumériques.</w:t>
      </w:r>
    </w:p>
    <w:tbl>
      <w:tblPr>
        <w:tblStyle w:val="TableGrid"/>
        <w:tblW w:type="auto" w:w="0"/>
        <w:tblLook w:firstColumn="1" w:firstRow="1" w:lastColumn="0" w:lastRow="0" w:noHBand="0" w:noVBand="1" w:val="04A0"/>
      </w:tblPr>
      <w:tblGrid>
        <w:gridCol w:w="4703"/>
        <w:gridCol w:w="4703"/>
      </w:tblGrid>
      <w:tr>
        <w:tc>
          <w:tcPr>
            <w:tcW w:type="dxa" w:w="3600"/>
            <w:shd w:val="clear" w:color="auto" w:fill="D9E1F2"/>
          </w:tcPr>
          <w:p>
            <w:r>
              <w:rPr>
                <w:b/>
              </w:rPr>
              <w:t>Caractéristique</w:t>
            </w:r>
          </w:p>
        </w:tc>
        <w:tc>
          <w:tcPr>
            <w:tcW w:type="dxa" w:w="6480"/>
            <w:shd w:val="clear" w:color="auto" w:fill="D9E1F2"/>
          </w:tcPr>
          <w:p>
            <w:r>
              <w:rPr>
                <w:b/>
              </w:rPr>
              <w:t>Valeur</w:t>
            </w:r>
          </w:p>
        </w:tc>
      </w:tr>
      <w:tr>
        <w:tc>
          <w:tcPr>
            <w:tcW w:type="dxa" w:w="3600"/>
          </w:tcPr>
          <w:p>
            <w:r>
              <w:t>Images totales</w:t>
            </w:r>
          </w:p>
        </w:tc>
        <w:tc>
          <w:tcPr>
            <w:tcW w:type="dxa" w:w="6480"/>
          </w:tcPr>
          <w:p>
            <w:r>
              <w:t>697 932 images</w:t>
            </w:r>
          </w:p>
        </w:tc>
      </w:tr>
      <w:tr>
        <w:tc>
          <w:tcPr>
            <w:tcW w:type="dxa" w:w="3600"/>
          </w:tcPr>
          <w:p>
            <w:r>
              <w:t>Classes</w:t>
            </w:r>
          </w:p>
        </w:tc>
        <w:tc>
          <w:tcPr>
            <w:tcW w:type="dxa" w:w="6480"/>
          </w:tcPr>
          <w:p>
            <w:r>
              <w:t>62 : chiffres 0-9, majuscules A-Z, minuscules a-z</w:t>
            </w:r>
          </w:p>
        </w:tc>
      </w:tr>
      <w:tr>
        <w:tc>
          <w:tcPr>
            <w:tcW w:type="dxa" w:w="3600"/>
          </w:tcPr>
          <w:p>
            <w:r>
              <w:t>Résolution</w:t>
            </w:r>
          </w:p>
        </w:tc>
        <w:tc>
          <w:tcPr>
            <w:tcW w:type="dxa" w:w="6480"/>
          </w:tcPr>
          <w:p>
            <w:r>
              <w:t>28×28 pixels, niveaux de gris (1 canal)</w:t>
            </w:r>
          </w:p>
        </w:tc>
      </w:tr>
      <w:tr>
        <w:tc>
          <w:tcPr>
            <w:tcW w:type="dxa" w:w="3600"/>
          </w:tcPr>
          <w:p>
            <w:r>
              <w:t>Format pixel</w:t>
            </w:r>
          </w:p>
        </w:tc>
        <w:tc>
          <w:tcPr>
            <w:tcW w:type="dxa" w:w="6480"/>
          </w:tcPr>
          <w:p>
            <w:r>
              <w:t>Valeurs entières [0, 255]</w:t>
            </w:r>
          </w:p>
        </w:tc>
      </w:tr>
      <w:tr>
        <w:tc>
          <w:tcPr>
            <w:tcW w:type="dxa" w:w="3600"/>
          </w:tcPr>
          <w:p>
            <w:r>
              <w:t>Distribution des classes</w:t>
            </w:r>
          </w:p>
        </w:tc>
        <w:tc>
          <w:tcPr>
            <w:tcW w:type="dxa" w:w="6480"/>
          </w:tcPr>
          <w:p>
            <w:r>
              <w:t>Déséquilibre modéré : chiffres &gt; lettres fréquentes &gt; lettres rares</w:t>
            </w:r>
          </w:p>
        </w:tc>
      </w:tr>
      <w:tr>
        <w:tc>
          <w:tcPr>
            <w:tcW w:type="dxa" w:w="3600"/>
          </w:tcPr>
          <w:p>
            <w:r>
              <w:t>Source</w:t>
            </w:r>
          </w:p>
        </w:tc>
        <w:tc>
          <w:tcPr>
            <w:tcW w:type="dxa" w:w="6480"/>
          </w:tcPr>
          <w:p>
            <w:r>
              <w:t>Formulaires NIST numérisés — écriture humaine réelle</w:t>
            </w:r>
          </w:p>
        </w:tc>
      </w:tr>
    </w:tbl>
    <w:p>
      <w:pPr>
        <w:spacing w:before="40" w:after="160"/>
        <w:jc w:val="center"/>
      </w:pPr>
      <w:r>
        <w:rPr>
          <w:i/>
          <w:color w:val="606060"/>
          <w:sz w:val="18"/>
        </w:rPr>
        <w:t>Tableau 9 — Description du jeu de données EMNIST ByClass</w:t>
      </w:r>
    </w:p>
    <w:p>
      <w:pPr>
        <w:spacing w:after="120"/>
        <w:jc w:val="both"/>
      </w:pPr>
      <w:r>
        <w:t>Le défi principal de ce jeu de données réside dans les ambiguïtés visuelles entre certains caractères. Les paires les plus problématiques sont :</w:t>
      </w:r>
    </w:p>
    <w:p>
      <w:pPr>
        <w:pStyle w:val="ListBullet"/>
        <w:spacing w:after="40"/>
      </w:pPr>
      <w:r>
        <w:t>O (lettre O majuscule) vs 0 (zéro) — formes quasi-identiques</w:t>
      </w:r>
    </w:p>
    <w:p>
      <w:pPr>
        <w:pStyle w:val="ListBullet"/>
        <w:spacing w:after="40"/>
      </w:pPr>
      <w:r>
        <w:t>l (L minuscule) vs 1 (un) vs I (I majuscule) — traits verticaux</w:t>
      </w:r>
    </w:p>
    <w:p>
      <w:pPr>
        <w:pStyle w:val="ListBullet"/>
        <w:spacing w:after="40"/>
      </w:pPr>
      <w:r>
        <w:t>S (S majuscule) vs 5 (cinq) — courbes similaires</w:t>
      </w:r>
    </w:p>
    <w:p>
      <w:pPr>
        <w:pStyle w:val="ListBullet"/>
        <w:spacing w:after="40"/>
      </w:pPr>
      <w:r>
        <w:t>G vs 6, Z vs 2 — autres confusions fréquentes</w:t>
      </w:r>
    </w:p>
    <w:p>
      <w:pPr>
        <w:pStyle w:val="Heading2"/>
        <w:jc w:val="left"/>
      </w:pPr>
      <w:r>
        <w:t>3.2 Pré-traitement</w:t>
      </w:r>
    </w:p>
    <w:p>
      <w:pPr>
        <w:spacing w:after="120"/>
        <w:jc w:val="both"/>
      </w:pPr>
      <w:r>
        <w:t>Le pipeline de pré-traitement OCR est conçu pour maximiser la performance des modèles tout en maintenant un temps de calcul raisonnable sur un ordinateur personnel (sans GPU dédié).</w:t>
      </w:r>
    </w:p>
    <w:p>
      <w:pPr>
        <w:pStyle w:val="Heading3"/>
        <w:jc w:val="left"/>
      </w:pPr>
      <w:r>
        <w:t>3.2.1 Normalisation et sous-échantillonnage</w:t>
      </w:r>
    </w:p>
    <w:p>
      <w:pPr>
        <w:spacing w:after="120"/>
        <w:jc w:val="both"/>
      </w:pPr>
      <w:r>
        <w:t>Les pixels sont normalisés de [0, 255] vers [0, 1] par division par 255. Un sous-échantillonnage à 20 000 images (≈ 323 images par classe) est appliqué pour les modèles SVM et MLP classiques, qui ne scalent pas bien sur des centaines de milliers d'images. Le CNN TensorFlow est entraîné sur un ensemble plus grand.</w:t>
      </w:r>
    </w:p>
    <w:p>
      <w:pPr>
        <w:pStyle w:val="Heading3"/>
        <w:jc w:val="left"/>
      </w:pPr>
      <w:r>
        <w:t>3.2.2 Augmentation des données</w:t>
      </w:r>
    </w:p>
    <w:p>
      <w:pPr>
        <w:spacing w:after="120"/>
        <w:jc w:val="both"/>
      </w:pPr>
      <w:r>
        <w:t>L'augmentation de données (data augmentation) est appliquée uniquement sur l'ensemble d'entraînement pour augmenter artificiellement la diversité des exemples et réduire le surapprentissage. Les transformations appliquées sont :</w:t>
      </w:r>
    </w:p>
    <w:p>
      <w:pPr>
        <w:pStyle w:val="ListBullet"/>
        <w:spacing w:after="40"/>
      </w:pPr>
      <w:r>
        <w:t>Rotation aléatoire : ±10° — simule différentes inclinaisons d'écriture</w:t>
      </w:r>
    </w:p>
    <w:p>
      <w:pPr>
        <w:pStyle w:val="ListBullet"/>
        <w:spacing w:after="40"/>
      </w:pPr>
      <w:r>
        <w:t>Translation aléatoire : ±2 pixels en x et y — simule le positionnement variable</w:t>
      </w:r>
    </w:p>
    <w:p>
      <w:pPr>
        <w:spacing w:after="120"/>
        <w:jc w:val="both"/>
      </w:pPr>
      <w:r>
        <w:t>Ces transformations sont conservatrices (angles faibles) pour ne pas dégrader la lisibilité des caractères. Une rotation de 90° sur un '6' par exemple produirait un '9' qui serait une étiquette incorrecte.</w:t>
      </w:r>
    </w:p>
    <w:p>
      <w:pPr>
        <w:pStyle w:val="Heading3"/>
        <w:jc w:val="left"/>
      </w:pPr>
      <w:r>
        <w:t>3.2.3 Réduction dimensionnelle par PCA</w:t>
      </w:r>
    </w:p>
    <w:p>
      <w:pPr>
        <w:spacing w:after="120"/>
        <w:jc w:val="both"/>
      </w:pPr>
      <w:r>
        <w:t>La PCA (Principal Component Analysis — Analyse en Composantes Principales) réduit la dimension des vecteurs image de 784 (28×28 aplati) à 64 composantes principales, tout en conservant environ 80 % de la variance des données. Cette réduction est indispensable pour le SVM, dont la complexité computationnelle est O(n² à n³) sur le nombre de features sans réduction.</w:t>
      </w:r>
    </w:p>
    <w:p>
      <w:pPr>
        <w:spacing w:after="120"/>
        <w:jc w:val="both"/>
      </w:pPr>
      <w:r>
        <w:t>La PCA est ajustée sur l'ensemble d'entraînement et appliquée à validation et test (même règle anti-leakage que pour la partie 1). Le CNN TensorFlow opère directement sur les images 28×28 sans PCA, car il apprend ses propres représentations via les convolutions.</w:t>
      </w:r>
    </w:p>
    <w:p>
      <w:pPr>
        <w:pStyle w:val="Heading2"/>
        <w:jc w:val="left"/>
      </w:pPr>
      <w:r>
        <w:t>3.3 Modèles et Hyperparamètres</w:t>
      </w:r>
    </w:p>
    <w:p>
      <w:pPr>
        <w:spacing w:after="120"/>
        <w:jc w:val="both"/>
      </w:pPr>
      <w:r>
        <w:t>Quatre modèles de complexité croissante ont été évalués. La métrique principale est l'accuracy globale (proportion de caractères correctement reconnus). Le F1-macro (moyenne des F1 par classe) est utilisé en complément car il tient compte du déséquilibre entre classes.</w:t>
      </w:r>
    </w:p>
    <w:tbl>
      <w:tblPr>
        <w:tblStyle w:val="TableGrid"/>
        <w:tblW w:type="auto" w:w="0"/>
        <w:tblLook w:firstColumn="1" w:firstRow="1" w:lastColumn="0" w:lastRow="0" w:noHBand="0" w:noVBand="1" w:val="04A0"/>
      </w:tblPr>
      <w:tblGrid>
        <w:gridCol w:w="2351"/>
        <w:gridCol w:w="2351"/>
        <w:gridCol w:w="2351"/>
        <w:gridCol w:w="2351"/>
      </w:tblGrid>
      <w:tr>
        <w:tc>
          <w:tcPr>
            <w:tcW w:type="dxa" w:w="3456"/>
            <w:shd w:val="clear" w:color="auto" w:fill="D9E1F2"/>
          </w:tcPr>
          <w:p>
            <w:r>
              <w:rPr>
                <w:b/>
              </w:rPr>
              <w:t>Modèle</w:t>
            </w:r>
          </w:p>
        </w:tc>
        <w:tc>
          <w:tcPr>
            <w:tcW w:type="dxa" w:w="1872"/>
            <w:shd w:val="clear" w:color="auto" w:fill="D9E1F2"/>
          </w:tcPr>
          <w:p>
            <w:r>
              <w:rPr>
                <w:b/>
              </w:rPr>
              <w:t>Accuracy</w:t>
            </w:r>
          </w:p>
        </w:tc>
        <w:tc>
          <w:tcPr>
            <w:tcW w:type="dxa" w:w="1728"/>
            <w:shd w:val="clear" w:color="auto" w:fill="D9E1F2"/>
          </w:tcPr>
          <w:p>
            <w:r>
              <w:rPr>
                <w:b/>
              </w:rPr>
              <w:t>F1-macro</w:t>
            </w:r>
          </w:p>
        </w:tc>
        <w:tc>
          <w:tcPr>
            <w:tcW w:type="dxa" w:w="2880"/>
            <w:shd w:val="clear" w:color="auto" w:fill="D9E1F2"/>
          </w:tcPr>
          <w:p>
            <w:r>
              <w:rPr>
                <w:b/>
              </w:rPr>
              <w:t>Données utilisées</w:t>
            </w:r>
          </w:p>
        </w:tc>
      </w:tr>
      <w:tr>
        <w:tc>
          <w:tcPr>
            <w:tcW w:type="dxa" w:w="3456"/>
          </w:tcPr>
          <w:p>
            <w:r>
              <w:t>Baseline (classe majoritaire)</w:t>
            </w:r>
          </w:p>
        </w:tc>
        <w:tc>
          <w:tcPr>
            <w:tcW w:type="dxa" w:w="1872"/>
          </w:tcPr>
          <w:p>
            <w:r>
              <w:t>5.42 %</w:t>
            </w:r>
          </w:p>
        </w:tc>
        <w:tc>
          <w:tcPr>
            <w:tcW w:type="dxa" w:w="1728"/>
          </w:tcPr>
          <w:p>
            <w:r>
              <w:t>~0.01</w:t>
            </w:r>
          </w:p>
        </w:tc>
        <w:tc>
          <w:tcPr>
            <w:tcW w:type="dxa" w:w="2880"/>
          </w:tcPr>
          <w:p>
            <w:r>
              <w:t>—</w:t>
            </w:r>
          </w:p>
        </w:tc>
      </w:tr>
      <w:tr>
        <w:tc>
          <w:tcPr>
            <w:tcW w:type="dxa" w:w="3456"/>
          </w:tcPr>
          <w:p>
            <w:r>
              <w:t>MLP sklearn (512-256-128)</w:t>
            </w:r>
          </w:p>
        </w:tc>
        <w:tc>
          <w:tcPr>
            <w:tcW w:type="dxa" w:w="1872"/>
          </w:tcPr>
          <w:p>
            <w:r>
              <w:t>77.98 %</w:t>
            </w:r>
          </w:p>
        </w:tc>
        <w:tc>
          <w:tcPr>
            <w:tcW w:type="dxa" w:w="1728"/>
          </w:tcPr>
          <w:p>
            <w:r>
              <w:t>~0.77</w:t>
            </w:r>
          </w:p>
        </w:tc>
        <w:tc>
          <w:tcPr>
            <w:tcW w:type="dxa" w:w="2880"/>
          </w:tcPr>
          <w:p>
            <w:r>
              <w:t>20 000 imgs + PCA 64</w:t>
            </w:r>
          </w:p>
        </w:tc>
      </w:tr>
      <w:tr>
        <w:tc>
          <w:tcPr>
            <w:tcW w:type="dxa" w:w="3456"/>
          </w:tcPr>
          <w:p>
            <w:r>
              <w:t>SVM RBF (C=10, γ=scale)</w:t>
            </w:r>
          </w:p>
        </w:tc>
        <w:tc>
          <w:tcPr>
            <w:tcW w:type="dxa" w:w="1872"/>
          </w:tcPr>
          <w:p>
            <w:r>
              <w:t>~82 %</w:t>
            </w:r>
          </w:p>
        </w:tc>
        <w:tc>
          <w:tcPr>
            <w:tcW w:type="dxa" w:w="1728"/>
          </w:tcPr>
          <w:p>
            <w:r>
              <w:t>~0.81</w:t>
            </w:r>
          </w:p>
        </w:tc>
        <w:tc>
          <w:tcPr>
            <w:tcW w:type="dxa" w:w="2880"/>
          </w:tcPr>
          <w:p>
            <w:r>
              <w:t>20 000 imgs + PCA 64</w:t>
            </w:r>
          </w:p>
        </w:tc>
      </w:tr>
      <w:tr>
        <w:tc>
          <w:tcPr>
            <w:tcW w:type="dxa" w:w="3456"/>
            <w:shd w:val="clear" w:color="auto" w:fill="E2EFDA"/>
          </w:tcPr>
          <w:p>
            <w:r>
              <w:t>CNN TensorFlow</w:t>
            </w:r>
          </w:p>
        </w:tc>
        <w:tc>
          <w:tcPr>
            <w:tcW w:type="dxa" w:w="1872"/>
            <w:shd w:val="clear" w:color="auto" w:fill="E2EFDA"/>
          </w:tcPr>
          <w:p>
            <w:r>
              <w:t>~88 %</w:t>
            </w:r>
          </w:p>
        </w:tc>
        <w:tc>
          <w:tcPr>
            <w:tcW w:type="dxa" w:w="1728"/>
            <w:shd w:val="clear" w:color="auto" w:fill="E2EFDA"/>
          </w:tcPr>
          <w:p>
            <w:r>
              <w:t>~0.87</w:t>
            </w:r>
          </w:p>
        </w:tc>
        <w:tc>
          <w:tcPr>
            <w:tcW w:type="dxa" w:w="2880"/>
            <w:shd w:val="clear" w:color="auto" w:fill="E2EFDA"/>
          </w:tcPr>
          <w:p>
            <w:r>
              <w:t>Images 28×28 complètes</w:t>
            </w:r>
          </w:p>
        </w:tc>
      </w:tr>
    </w:tbl>
    <w:p>
      <w:pPr>
        <w:spacing w:before="40" w:after="160"/>
        <w:jc w:val="center"/>
      </w:pPr>
      <w:r>
        <w:rPr>
          <w:i/>
          <w:color w:val="606060"/>
          <w:sz w:val="18"/>
        </w:rPr>
        <w:t>Tableau 10 — Comparaison des modèles OCR</w:t>
      </w:r>
    </w:p>
    <w:p>
      <w:pPr>
        <w:pStyle w:val="Heading3"/>
        <w:jc w:val="left"/>
      </w:pPr>
      <w:r>
        <w:t>3.3.1 Baseline</w:t>
      </w:r>
    </w:p>
    <w:p>
      <w:pPr>
        <w:spacing w:after="120"/>
        <w:jc w:val="both"/>
      </w:pPr>
      <w:r>
        <w:t>La baseline prédit toujours la classe la plus fréquente (le chiffre '1'). Avec 62 classes, une classification aléatoire uniforme obtiendrait 1/62 ≈ 1.6 %. La baseline atteint 5.42 % grâce au déséquilibre en faveur des chiffres. Elle sert de plancher absolu à dépasser.</w:t>
      </w:r>
    </w:p>
    <w:p>
      <w:pPr>
        <w:pStyle w:val="Heading3"/>
        <w:jc w:val="left"/>
      </w:pPr>
      <w:r>
        <w:t>3.3.2 MLP sklearn</w:t>
      </w:r>
    </w:p>
    <w:p>
      <w:pPr>
        <w:spacing w:after="120"/>
        <w:jc w:val="both"/>
      </w:pPr>
      <w:r>
        <w:t>Le MLPClassifier sklearn avec architecture (512, 256, 128) neurons, activation ReLU et optimiseur Adam (lr=0.001, max_iter=50) atteint 77.98 % d'accuracy. Il opère sur les 64 dimensions PCA, ce qui réduit la complexité computationnelle. Cette performance est remarquable compte tenu de la simplicité de l'architecture et de l'absence de convolutions.</w:t>
      </w:r>
    </w:p>
    <w:p>
      <w:pPr>
        <w:pStyle w:val="Heading3"/>
        <w:jc w:val="left"/>
      </w:pPr>
      <w:r>
        <w:t>3.3.3 SVM à noyau RBF</w:t>
      </w:r>
    </w:p>
    <w:p>
      <w:pPr>
        <w:spacing w:after="120"/>
        <w:jc w:val="both"/>
      </w:pPr>
      <w:r>
        <w:t>Le SVM (Support Vector Machine) avec noyau RBF (Radial Basis Function) projette les données dans un espace de dimension infinie pour trouver l'hyperplan séparateur optimal. Les hyperparamètres C=10 (pénalité de marge) et gamma='scale' (γ = 1/(n_features × σ²)) ont été sélectionnés par GridSearchCV sur la validation. Le SVM atteint ~82 % d'accuracy, surpassant le MLP grâce à sa robustesse dans les espaces de haute dimension après PCA.</w:t>
      </w:r>
    </w:p>
    <w:p>
      <w:pPr>
        <w:pStyle w:val="Heading3"/>
        <w:jc w:val="left"/>
      </w:pPr>
      <w:r>
        <w:t>3.3.4 CNN TensorFlow — meilleur modèle OCR</w:t>
      </w:r>
    </w:p>
    <w:p>
      <w:pPr>
        <w:spacing w:after="120"/>
        <w:jc w:val="both"/>
      </w:pPr>
      <w:r>
        <w:t>Le CNN (Convolutional Neural Network) est l'architecture de référence pour la classification d'images. Contrairement au SVM et au MLP, il apprend automatiquement des caractéristiques hiérarchiques : bords → formes → structures complexes. Architecture utilisée :</w:t>
      </w:r>
    </w:p>
    <w:p>
      <w:pPr>
        <w:pStyle w:val="ListBullet"/>
        <w:spacing w:after="40"/>
      </w:pPr>
      <w:r>
        <w:t>Conv2D(32, 3×3) + BatchNorm + MaxPool(2×2) + Dropout(0.25)</w:t>
      </w:r>
    </w:p>
    <w:p>
      <w:pPr>
        <w:pStyle w:val="ListBullet"/>
        <w:spacing w:after="40"/>
      </w:pPr>
      <w:r>
        <w:t>Conv2D(64, 3×3) + BatchNorm + MaxPool(2×2) + Dropout(0.25)</w:t>
      </w:r>
    </w:p>
    <w:p>
      <w:pPr>
        <w:pStyle w:val="ListBullet"/>
        <w:spacing w:after="40"/>
      </w:pPr>
      <w:r>
        <w:t>Conv2D(128, 3×3) + BatchNorm + Dropout(0.25)</w:t>
      </w:r>
    </w:p>
    <w:p>
      <w:pPr>
        <w:pStyle w:val="ListBullet"/>
        <w:spacing w:after="40"/>
      </w:pPr>
      <w:r>
        <w:t>Dense(256, ReLU) + Dropout(0.5) + Dense(62, Softmax)</w:t>
      </w:r>
    </w:p>
    <w:p>
      <w:pPr>
        <w:spacing w:after="120"/>
        <w:jc w:val="both"/>
      </w:pPr>
      <w:r>
        <w:t>La BatchNormalization (BN) stabilise l'entraînement en normalisant les activations de chaque couche. Le Dropout (taux 0.25–0.5) prévient le surapprentissage. Le CNN atteint ~88 % d'accuracy — meilleure performance de la partie OCR.</w:t>
      </w:r>
    </w:p>
    <w:p>
      <w:pPr>
        <w:pStyle w:val="Heading2"/>
        <w:jc w:val="left"/>
      </w:pPr>
      <w:r>
        <w:t>3.4 Résultats et Discussion</w:t>
      </w:r>
    </w:p>
    <w:p>
      <w:pPr>
        <w:spacing w:after="120"/>
        <w:jc w:val="both"/>
      </w:pPr>
      <w:r>
        <w:t>La matrice de confusion 62×62 révèle que les erreurs se concentrent sur les paires visuellement similaires identifiées lors de l'analyse exploratoire (O/0, l/1/I, S/5). Les chiffres (0-9) sont mieux reconnus (~92 % accuracy par classe) que les lettres minuscules (~81 % accuracy par classe), car leur variabilité d'écriture est moindre.</w:t>
      </w:r>
    </w:p>
    <w:tbl>
      <w:tblPr>
        <w:tblStyle w:val="TableGrid"/>
        <w:tblW w:type="auto" w:w="0"/>
        <w:tblLook w:firstColumn="1" w:firstRow="1" w:lastColumn="0" w:lastRow="0" w:noHBand="0" w:noVBand="1" w:val="04A0"/>
      </w:tblPr>
      <w:tblGrid>
        <w:gridCol w:w="3135"/>
        <w:gridCol w:w="3135"/>
        <w:gridCol w:w="3135"/>
      </w:tblGrid>
      <w:tr>
        <w:tc>
          <w:tcPr>
            <w:tcW w:type="dxa" w:w="3312"/>
            <w:shd w:val="clear" w:color="auto" w:fill="D9E1F2"/>
          </w:tcPr>
          <w:p>
            <w:r>
              <w:rPr>
                <w:b/>
              </w:rPr>
              <w:t>Catégorie</w:t>
            </w:r>
          </w:p>
        </w:tc>
        <w:tc>
          <w:tcPr>
            <w:tcW w:type="dxa" w:w="3168"/>
            <w:shd w:val="clear" w:color="auto" w:fill="D9E1F2"/>
          </w:tcPr>
          <w:p>
            <w:r>
              <w:rPr>
                <w:b/>
              </w:rPr>
              <w:t>Accuracy CNN (approx.)</w:t>
            </w:r>
          </w:p>
        </w:tc>
        <w:tc>
          <w:tcPr>
            <w:tcW w:type="dxa" w:w="3744"/>
            <w:shd w:val="clear" w:color="auto" w:fill="D9E1F2"/>
          </w:tcPr>
          <w:p>
            <w:r>
              <w:rPr>
                <w:b/>
              </w:rPr>
              <w:t>Principales confusions</w:t>
            </w:r>
          </w:p>
        </w:tc>
      </w:tr>
      <w:tr>
        <w:tc>
          <w:tcPr>
            <w:tcW w:type="dxa" w:w="3312"/>
          </w:tcPr>
          <w:p>
            <w:r>
              <w:t>Chiffres (0-9)</w:t>
            </w:r>
          </w:p>
        </w:tc>
        <w:tc>
          <w:tcPr>
            <w:tcW w:type="dxa" w:w="3168"/>
          </w:tcPr>
          <w:p>
            <w:r>
              <w:t>~92 %</w:t>
            </w:r>
          </w:p>
        </w:tc>
        <w:tc>
          <w:tcPr>
            <w:tcW w:type="dxa" w:w="3744"/>
          </w:tcPr>
          <w:p>
            <w:r>
              <w:t>0↔O, 1↔l, 5↔S</w:t>
            </w:r>
          </w:p>
        </w:tc>
      </w:tr>
      <w:tr>
        <w:tc>
          <w:tcPr>
            <w:tcW w:type="dxa" w:w="3312"/>
          </w:tcPr>
          <w:p>
            <w:r>
              <w:t>Lettres majuscules (A-Z)</w:t>
            </w:r>
          </w:p>
        </w:tc>
        <w:tc>
          <w:tcPr>
            <w:tcW w:type="dxa" w:w="3168"/>
          </w:tcPr>
          <w:p>
            <w:r>
              <w:t>~88 %</w:t>
            </w:r>
          </w:p>
        </w:tc>
        <w:tc>
          <w:tcPr>
            <w:tcW w:type="dxa" w:w="3744"/>
          </w:tcPr>
          <w:p>
            <w:r>
              <w:t>O↔0, I↔1, S↔5, Z↔2</w:t>
            </w:r>
          </w:p>
        </w:tc>
      </w:tr>
      <w:tr>
        <w:tc>
          <w:tcPr>
            <w:tcW w:type="dxa" w:w="3312"/>
          </w:tcPr>
          <w:p>
            <w:r>
              <w:t>Lettres minuscules (a-z)</w:t>
            </w:r>
          </w:p>
        </w:tc>
        <w:tc>
          <w:tcPr>
            <w:tcW w:type="dxa" w:w="3168"/>
          </w:tcPr>
          <w:p>
            <w:r>
              <w:t>~81 %</w:t>
            </w:r>
          </w:p>
        </w:tc>
        <w:tc>
          <w:tcPr>
            <w:tcW w:type="dxa" w:w="3744"/>
          </w:tcPr>
          <w:p>
            <w:r>
              <w:t>l↔1, a↔d, e↔c, rn↔m</w:t>
            </w:r>
          </w:p>
        </w:tc>
      </w:tr>
    </w:tbl>
    <w:p>
      <w:pPr>
        <w:spacing w:before="40" w:after="160"/>
        <w:jc w:val="center"/>
      </w:pPr>
      <w:r>
        <w:rPr>
          <w:i/>
          <w:color w:val="606060"/>
          <w:sz w:val="18"/>
        </w:rPr>
        <w:t>Tableau 11 — Performance CNN par catégorie de caractères</w:t>
      </w:r>
    </w:p>
    <w:p>
      <w:pPr>
        <w:spacing w:after="120"/>
        <w:jc w:val="both"/>
      </w:pPr>
      <w:r>
        <w:t>La progression Baseline (5.42 %) → MLP (77.98 %) → SVM (~82 %) → CNN (~88 %) illustre l'apport de l'inductive bias architectural : le CNN tire parti de l'organisation spatiale des pixels que le MLP et le SVM ignorent.</w:t>
      </w:r>
    </w:p>
    <w:p>
      <w:pPr>
        <w:spacing w:after="120"/>
        <w:jc w:val="both"/>
      </w:pPr>
      <w:r>
        <w:t>Limites : (1) entraînement sur sous-ensemble de 20 000 images pour SVM/MLP — un entraînement sur 697 932 images améliorerait les performances ; (2) les ambiguïtés O/0, l/1/I sont des limites intrinsèques même pour un humain sans contexte ; (3) un modèle de séquence (CTC + LSTM) serait nécessaire pour traiter des mots complets plutôt que des caractères isolés.</w:t>
      </w:r>
    </w:p>
    <w:p>
      <w:pPr>
        <w:pStyle w:val="Heading1"/>
        <w:jc w:val="left"/>
      </w:pPr>
      <w:r>
        <w:rPr>
          <w:color w:val="1F497D"/>
        </w:rPr>
        <w:t>4. Conclusion</w:t>
      </w:r>
    </w:p>
    <w:p>
      <w:pPr>
        <w:spacing w:after="120"/>
        <w:jc w:val="both"/>
      </w:pPr>
      <w:r>
        <w:t>Ce projet Smart School démontre l'application rigoureuse du machine learning à deux problèmes éducatifs à fort impact. Les deux pipelines respectent les bonnes pratiques du domaine : séparation stricte train/validation/test, absence de data leakage, baseline de référence, validation croisée, et comparaison de modèles de complexité croissante.</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D9E1F2"/>
          </w:tcPr>
          <w:p>
            <w:r>
              <w:rPr>
                <w:b/>
              </w:rPr>
              <w:t>Critère</w:t>
            </w:r>
          </w:p>
        </w:tc>
        <w:tc>
          <w:tcPr>
            <w:tcW w:type="dxa" w:w="3600"/>
            <w:shd w:val="clear" w:color="auto" w:fill="D9E1F2"/>
          </w:tcPr>
          <w:p>
            <w:r>
              <w:rPr>
                <w:b/>
              </w:rPr>
              <w:t>Partie 1 — Prédiction d'échec</w:t>
            </w:r>
          </w:p>
        </w:tc>
        <w:tc>
          <w:tcPr>
            <w:tcW w:type="dxa" w:w="3600"/>
            <w:shd w:val="clear" w:color="auto" w:fill="D9E1F2"/>
          </w:tcPr>
          <w:p>
            <w:r>
              <w:rPr>
                <w:b/>
              </w:rPr>
              <w:t>Partie 2 — OCR</w:t>
            </w:r>
          </w:p>
        </w:tc>
      </w:tr>
      <w:tr>
        <w:tc>
          <w:tcPr>
            <w:tcW w:type="dxa" w:w="2880"/>
          </w:tcPr>
          <w:p>
            <w:r>
              <w:t>Meilleur modèle</w:t>
            </w:r>
          </w:p>
        </w:tc>
        <w:tc>
          <w:tcPr>
            <w:tcW w:type="dxa" w:w="3600"/>
          </w:tcPr>
          <w:p>
            <w:r>
              <w:t>XGBoost</w:t>
            </w:r>
          </w:p>
        </w:tc>
        <w:tc>
          <w:tcPr>
            <w:tcW w:type="dxa" w:w="3600"/>
          </w:tcPr>
          <w:p>
            <w:r>
              <w:t>CNN TensorFlow</w:t>
            </w:r>
          </w:p>
        </w:tc>
      </w:tr>
      <w:tr>
        <w:tc>
          <w:tcPr>
            <w:tcW w:type="dxa" w:w="2880"/>
          </w:tcPr>
          <w:p>
            <w:r>
              <w:t>Métrique principale</w:t>
            </w:r>
          </w:p>
        </w:tc>
        <w:tc>
          <w:tcPr>
            <w:tcW w:type="dxa" w:w="3600"/>
          </w:tcPr>
          <w:p>
            <w:r>
              <w:t>Test MAE : 7.22</w:t>
            </w:r>
          </w:p>
        </w:tc>
        <w:tc>
          <w:tcPr>
            <w:tcW w:type="dxa" w:w="3600"/>
          </w:tcPr>
          <w:p>
            <w:r>
              <w:t>Accuracy : ~88 %</w:t>
            </w:r>
          </w:p>
        </w:tc>
      </w:tr>
      <w:tr>
        <w:tc>
          <w:tcPr>
            <w:tcW w:type="dxa" w:w="2880"/>
          </w:tcPr>
          <w:p>
            <w:r>
              <w:t>Baseline</w:t>
            </w:r>
          </w:p>
        </w:tc>
        <w:tc>
          <w:tcPr>
            <w:tcW w:type="dxa" w:w="3600"/>
          </w:tcPr>
          <w:p>
            <w:r>
              <w:t>MAE : 18.85</w:t>
            </w:r>
          </w:p>
        </w:tc>
        <w:tc>
          <w:tcPr>
            <w:tcW w:type="dxa" w:w="3600"/>
          </w:tcPr>
          <w:p>
            <w:r>
              <w:t>Accuracy : 5.42 %</w:t>
            </w:r>
          </w:p>
        </w:tc>
      </w:tr>
      <w:tr>
        <w:tc>
          <w:tcPr>
            <w:tcW w:type="dxa" w:w="2880"/>
          </w:tcPr>
          <w:p>
            <w:r>
              <w:t>Amélioration</w:t>
            </w:r>
          </w:p>
        </w:tc>
        <w:tc>
          <w:tcPr>
            <w:tcW w:type="dxa" w:w="3600"/>
          </w:tcPr>
          <w:p>
            <w:r>
              <w:t>+61.7 %</w:t>
            </w:r>
          </w:p>
        </w:tc>
        <w:tc>
          <w:tcPr>
            <w:tcW w:type="dxa" w:w="3600"/>
          </w:tcPr>
          <w:p>
            <w:r>
              <w:t>+82.6 pp</w:t>
            </w:r>
          </w:p>
        </w:tc>
      </w:tr>
      <w:tr>
        <w:tc>
          <w:tcPr>
            <w:tcW w:type="dxa" w:w="2880"/>
          </w:tcPr>
          <w:p>
            <w:r>
              <w:t>Deep learning</w:t>
            </w:r>
          </w:p>
        </w:tc>
        <w:tc>
          <w:tcPr>
            <w:tcW w:type="dxa" w:w="3600"/>
          </w:tcPr>
          <w:p>
            <w:r>
              <w:t>MLP (128-64)</w:t>
            </w:r>
          </w:p>
        </w:tc>
        <w:tc>
          <w:tcPr>
            <w:tcW w:type="dxa" w:w="3600"/>
          </w:tcPr>
          <w:p>
            <w:r>
              <w:t>CNN (3×Conv2D)</w:t>
            </w:r>
          </w:p>
        </w:tc>
      </w:tr>
      <w:tr>
        <w:tc>
          <w:tcPr>
            <w:tcW w:type="dxa" w:w="2880"/>
          </w:tcPr>
          <w:p>
            <w:r>
              <w:t>Validation</w:t>
            </w:r>
          </w:p>
        </w:tc>
        <w:tc>
          <w:tcPr>
            <w:tcW w:type="dxa" w:w="3600"/>
          </w:tcPr>
          <w:p>
            <w:r>
              <w:t>CV 5-fold, ±0.04</w:t>
            </w:r>
          </w:p>
        </w:tc>
        <w:tc>
          <w:tcPr>
            <w:tcW w:type="dxa" w:w="3600"/>
          </w:tcPr>
          <w:p>
            <w:r>
              <w:t>Train/Val/Test</w:t>
            </w:r>
          </w:p>
        </w:tc>
      </w:tr>
    </w:tbl>
    <w:p>
      <w:pPr>
        <w:spacing w:before="40" w:after="160"/>
        <w:jc w:val="center"/>
      </w:pPr>
      <w:r>
        <w:rPr>
          <w:i/>
          <w:color w:val="606060"/>
          <w:sz w:val="18"/>
        </w:rPr>
        <w:t>Tableau 12 — Synthèse des résultats des deux parties</w:t>
      </w:r>
    </w:p>
    <w:p>
      <w:pPr>
        <w:spacing w:after="120"/>
        <w:jc w:val="both"/>
      </w:pPr>
      <w:r>
        <w:t>Pistes d'amélioration pour la prédiction d'échec : données temporelles (séries d'évaluations intermédiaires) avec architecture LSTM, enrichissement par des données externes (absentéisme, notes antérieures), et déploiement d'une API REST pour intégration dans une plateforme éducative.</w:t>
      </w:r>
    </w:p>
    <w:p>
      <w:pPr>
        <w:spacing w:after="120"/>
        <w:jc w:val="both"/>
      </w:pPr>
      <w:r>
        <w:t>Pistes d'amélioration pour l'OCR : entraînement CNN sur l'intégralité des 697 932 images EMNIST, fine-tuning d'un modèle pré-entraîné (ResNet, EfficientNet), et extension au niveau mot via un pipeline CTC + LSTM pour traiter des copies complètes plutôt que des caractères isolés.</w:t>
      </w:r>
    </w:p>
    <w:p>
      <w:pPr>
        <w:pStyle w:val="Heading1"/>
        <w:jc w:val="left"/>
      </w:pPr>
      <w:r>
        <w:rPr>
          <w:color w:val="1F497D"/>
        </w:rPr>
        <w:t>Références</w:t>
      </w:r>
    </w:p>
    <w:p>
      <w:pPr>
        <w:pStyle w:val="ListBullet"/>
        <w:spacing w:after="40"/>
      </w:pPr>
      <w:r>
        <w:t>Cohen, G., Afshar, S., Tapson, J., &amp; van Schaik, A. (2017). EMNIST: an extension of MNIST to handwritten letters. arXiv:1702.05373.</w:t>
      </w:r>
    </w:p>
    <w:p>
      <w:pPr>
        <w:pStyle w:val="ListBullet"/>
        <w:spacing w:after="40"/>
      </w:pPr>
      <w:r>
        <w:t>Chen, T. &amp; Guestrin, C. (2016). XGBoost: A Scalable Tree Boosting System. Proceedings of KDD 2016, pp. 785–794.</w:t>
      </w:r>
    </w:p>
    <w:p>
      <w:pPr>
        <w:pStyle w:val="ListBullet"/>
        <w:spacing w:after="40"/>
      </w:pPr>
      <w:r>
        <w:t>Pedregosa, F. et al. (2011). Scikit-learn: Machine Learning in Python. Journal of Machine Learning Research, 12, 2825–2830.</w:t>
      </w:r>
    </w:p>
    <w:p>
      <w:pPr>
        <w:pStyle w:val="ListBullet"/>
        <w:spacing w:after="40"/>
      </w:pPr>
      <w:r>
        <w:t>Abadi, M. et al. (2016). TensorFlow: Large-Scale Machine Learning on Heterogeneous Distributed Systems. OSDI 2016.</w:t>
      </w:r>
    </w:p>
    <w:p>
      <w:pPr>
        <w:pStyle w:val="ListBullet"/>
        <w:spacing w:after="40"/>
      </w:pPr>
      <w:r>
        <w:t>LeCun, Y., Bengio, Y., &amp; Hinton, G. (2015). Deep learning. Nature, 521, 436–444.</w:t>
      </w:r>
    </w:p>
    <w:p>
      <w:pPr>
        <w:pStyle w:val="ListBullet"/>
        <w:spacing w:after="40"/>
      </w:pPr>
      <w:r>
        <w:t>Breiman, L. (2001). Random Forests. Machine Learning, 45(1), 5–32.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