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sz w:val="40"/>
        </w:rPr>
        <w:t>Predicting Student Exam Performance</w:t>
        <w:br/>
        <w:t>Using Machine Learning</w:t>
      </w:r>
    </w:p>
    <w:p/>
    <w:p>
      <w:pPr>
        <w:jc w:val="center"/>
      </w:pPr>
      <w:r>
        <w:rPr>
          <w:rFonts w:ascii="Calibri" w:hAnsi="Calibri"/>
          <w:b w:val="0"/>
          <w:i/>
          <w:color w:val="505050"/>
          <w:sz w:val="26"/>
        </w:rPr>
        <w:t>Project Report — Machine Learning / Data Science</w:t>
      </w:r>
    </w:p>
    <w:p/>
    <w:p>
      <w:pPr>
        <w:jc w:val="center"/>
      </w:pPr>
      <w:r>
        <w:rPr>
          <w:rFonts w:ascii="Calibri" w:hAnsi="Calibri"/>
          <w:b w:val="0"/>
          <w:i w:val="0"/>
          <w:sz w:val="22"/>
        </w:rPr>
        <w:t>Author: [Your Name]</w:t>
        <w:br/>
        <w:t>Student ID: [Your ID]</w:t>
        <w:br/>
        <w:t>Course: [Course Name]</w:t>
        <w:br/>
        <w:t>Date: May 2026</w:t>
      </w:r>
    </w:p>
    <w:p>
      <w:r>
        <w:br w:type="page"/>
      </w:r>
    </w:p>
    <w:p>
      <w:pPr>
        <w:pStyle w:val="Heading1"/>
        <w:jc w:val="left"/>
      </w:pPr>
      <w:r>
        <w:t>1. Introduction</w:t>
      </w:r>
    </w:p>
    <w:p>
      <w:pPr>
        <w:jc w:val="both"/>
      </w:pPr>
      <w:r>
        <w:rPr>
          <w:rFonts w:ascii="Calibri" w:hAnsi="Calibri"/>
          <w:b w:val="0"/>
          <w:i w:val="0"/>
          <w:sz w:val="22"/>
        </w:rPr>
        <w:t>Academic failure is a growing concern in higher education. Understanding which factors drive student performance allows institutions to intervene early and provide targeted support. This project applies machine learning to a tabular student dataset with the goal of predicting individual exam scores (score_examen) from behavioral and contextual features such as study hours, class attendance, sleep quality, and exam difficulty.</w:t>
      </w:r>
    </w:p>
    <w:p>
      <w:pPr>
        <w:jc w:val="both"/>
      </w:pPr>
      <w:r>
        <w:rPr>
          <w:rFonts w:ascii="Calibri" w:hAnsi="Calibri"/>
          <w:b w:val="0"/>
          <w:i w:val="0"/>
          <w:sz w:val="22"/>
        </w:rPr>
        <w:t>The prediction is framed as a supervised regression task. A student is considered at risk of failure when their predicted score falls below 50. The project covers the full machine learning pipeline: exploratory data analysis, feature engineering, encoding strategy comparison, model selection between Random Forest and XGBoost, and critical evaluation of results.</w:t>
      </w:r>
    </w:p>
    <w:p>
      <w:pPr>
        <w:jc w:val="both"/>
      </w:pPr>
      <w:r>
        <w:rPr>
          <w:rFonts w:ascii="Calibri" w:hAnsi="Calibri"/>
          <w:b w:val="0"/>
          <w:i w:val="0"/>
          <w:sz w:val="22"/>
        </w:rPr>
        <w:t>All code is written in Python 3 using scikit-learn, XGBoost, pandas, and matplotlib/seaborn. The dataset is provided in CSV format and split 80/20 into training and validation sets.</w:t>
      </w:r>
    </w:p>
    <w:p>
      <w:pPr>
        <w:pStyle w:val="Heading1"/>
        <w:jc w:val="left"/>
      </w:pPr>
      <w:r>
        <w:t>2. Dataset Description</w:t>
      </w:r>
    </w:p>
    <w:p>
      <w:pPr>
        <w:jc w:val="both"/>
      </w:pPr>
      <w:r>
        <w:rPr>
          <w:rFonts w:ascii="Calibri" w:hAnsi="Calibri"/>
          <w:b w:val="0"/>
          <w:i w:val="0"/>
          <w:sz w:val="22"/>
        </w:rPr>
        <w:t>The dataset contains one row per student with 15 columns. The target variable is score_examen (integer, 0–100). Two columns were discarded before modelling: id (non-informative identifier) and taille_etudiant (student height, no plausible causal link to exam performance). The remaining 12 predictors are described below.</w:t>
      </w:r>
    </w:p>
    <w:tbl>
      <w:tblPr>
        <w:tblStyle w:val="LightList-Accent1"/>
        <w:tblW w:type="auto" w:w="0"/>
        <w:tblLook w:firstColumn="1" w:firstRow="1" w:lastColumn="0" w:lastRow="0" w:noHBand="0" w:noVBand="1" w:val="04A0"/>
      </w:tblPr>
      <w:tblGrid>
        <w:gridCol w:w="2280"/>
        <w:gridCol w:w="2280"/>
        <w:gridCol w:w="2280"/>
        <w:gridCol w:w="2280"/>
      </w:tblGrid>
      <w:tr>
        <w:tc>
          <w:tcPr>
            <w:tcW w:type="dxa" w:w="2280"/>
          </w:tcPr>
          <w:p>
            <w:r>
              <w:rPr>
                <w:b/>
              </w:rPr>
              <w:t>Feature</w:t>
            </w:r>
          </w:p>
        </w:tc>
        <w:tc>
          <w:tcPr>
            <w:tcW w:type="dxa" w:w="2280"/>
          </w:tcPr>
          <w:p>
            <w:r>
              <w:rPr>
                <w:b/>
              </w:rPr>
              <w:t>Type</w:t>
            </w:r>
          </w:p>
        </w:tc>
        <w:tc>
          <w:tcPr>
            <w:tcW w:type="dxa" w:w="2280"/>
          </w:tcPr>
          <w:p>
            <w:r>
              <w:rPr>
                <w:b/>
              </w:rPr>
              <w:t>Category</w:t>
            </w:r>
          </w:p>
        </w:tc>
        <w:tc>
          <w:tcPr>
            <w:tcW w:type="dxa" w:w="2280"/>
          </w:tcPr>
          <w:p>
            <w:r>
              <w:rPr>
                <w:b/>
              </w:rPr>
              <w:t>Description</w:t>
            </w:r>
          </w:p>
        </w:tc>
      </w:tr>
      <w:tr>
        <w:tc>
          <w:tcPr>
            <w:tcW w:type="dxa" w:w="2280"/>
          </w:tcPr>
          <w:p>
            <w:r>
              <w:t>age</w:t>
            </w:r>
          </w:p>
        </w:tc>
        <w:tc>
          <w:tcPr>
            <w:tcW w:type="dxa" w:w="2280"/>
          </w:tcPr>
          <w:p>
            <w:r>
              <w:t>Numeric</w:t>
            </w:r>
          </w:p>
        </w:tc>
        <w:tc>
          <w:tcPr>
            <w:tcW w:type="dxa" w:w="2280"/>
          </w:tcPr>
          <w:p>
            <w:r>
              <w:t>Probably uninformative</w:t>
            </w:r>
          </w:p>
        </w:tc>
        <w:tc>
          <w:tcPr>
            <w:tcW w:type="dxa" w:w="2280"/>
          </w:tcPr>
          <w:p>
            <w:r>
              <w:t>Student age</w:t>
            </w:r>
          </w:p>
        </w:tc>
      </w:tr>
      <w:tr>
        <w:tc>
          <w:tcPr>
            <w:tcW w:type="dxa" w:w="2280"/>
          </w:tcPr>
          <w:p>
            <w:r>
              <w:t>genre</w:t>
            </w:r>
          </w:p>
        </w:tc>
        <w:tc>
          <w:tcPr>
            <w:tcW w:type="dxa" w:w="2280"/>
          </w:tcPr>
          <w:p>
            <w:r>
              <w:t>Nominal</w:t>
            </w:r>
          </w:p>
        </w:tc>
        <w:tc>
          <w:tcPr>
            <w:tcW w:type="dxa" w:w="2280"/>
          </w:tcPr>
          <w:p>
            <w:r>
              <w:t>Probably uninformative</w:t>
            </w:r>
          </w:p>
        </w:tc>
        <w:tc>
          <w:tcPr>
            <w:tcW w:type="dxa" w:w="2280"/>
          </w:tcPr>
          <w:p>
            <w:r>
              <w:t>Gender</w:t>
            </w:r>
          </w:p>
        </w:tc>
      </w:tr>
      <w:tr>
        <w:tc>
          <w:tcPr>
            <w:tcW w:type="dxa" w:w="2280"/>
          </w:tcPr>
          <w:p>
            <w:r>
              <w:t>diplôme</w:t>
            </w:r>
          </w:p>
        </w:tc>
        <w:tc>
          <w:tcPr>
            <w:tcW w:type="dxa" w:w="2280"/>
          </w:tcPr>
          <w:p>
            <w:r>
              <w:t>Nominal</w:t>
            </w:r>
          </w:p>
        </w:tc>
        <w:tc>
          <w:tcPr>
            <w:tcW w:type="dxa" w:w="2280"/>
          </w:tcPr>
          <w:p>
            <w:r>
              <w:t>Useful</w:t>
            </w:r>
          </w:p>
        </w:tc>
        <w:tc>
          <w:tcPr>
            <w:tcW w:type="dxa" w:w="2280"/>
          </w:tcPr>
          <w:p>
            <w:r>
              <w:t>Prior qualification level</w:t>
            </w:r>
          </w:p>
        </w:tc>
      </w:tr>
      <w:tr>
        <w:tc>
          <w:tcPr>
            <w:tcW w:type="dxa" w:w="2280"/>
          </w:tcPr>
          <w:p>
            <w:r>
              <w:t>heures_etude</w:t>
            </w:r>
          </w:p>
        </w:tc>
        <w:tc>
          <w:tcPr>
            <w:tcW w:type="dxa" w:w="2280"/>
          </w:tcPr>
          <w:p>
            <w:r>
              <w:t>Numeric</w:t>
            </w:r>
          </w:p>
        </w:tc>
        <w:tc>
          <w:tcPr>
            <w:tcW w:type="dxa" w:w="2280"/>
          </w:tcPr>
          <w:p>
            <w:r>
              <w:t>Useful</w:t>
            </w:r>
          </w:p>
        </w:tc>
        <w:tc>
          <w:tcPr>
            <w:tcW w:type="dxa" w:w="2280"/>
          </w:tcPr>
          <w:p>
            <w:r>
              <w:t>Weekly study hours</w:t>
            </w:r>
          </w:p>
        </w:tc>
      </w:tr>
      <w:tr>
        <w:tc>
          <w:tcPr>
            <w:tcW w:type="dxa" w:w="2280"/>
          </w:tcPr>
          <w:p>
            <w:r>
              <w:t>assiduité_classe</w:t>
            </w:r>
          </w:p>
        </w:tc>
        <w:tc>
          <w:tcPr>
            <w:tcW w:type="dxa" w:w="2280"/>
          </w:tcPr>
          <w:p>
            <w:r>
              <w:t>Numeric</w:t>
            </w:r>
          </w:p>
        </w:tc>
        <w:tc>
          <w:tcPr>
            <w:tcW w:type="dxa" w:w="2280"/>
          </w:tcPr>
          <w:p>
            <w:r>
              <w:t>Useful</w:t>
            </w:r>
          </w:p>
        </w:tc>
        <w:tc>
          <w:tcPr>
            <w:tcW w:type="dxa" w:w="2280"/>
          </w:tcPr>
          <w:p>
            <w:r>
              <w:t>Class attendance rate</w:t>
            </w:r>
          </w:p>
        </w:tc>
      </w:tr>
      <w:tr>
        <w:tc>
          <w:tcPr>
            <w:tcW w:type="dxa" w:w="2280"/>
          </w:tcPr>
          <w:p>
            <w:r>
              <w:t>accès_internet</w:t>
            </w:r>
          </w:p>
        </w:tc>
        <w:tc>
          <w:tcPr>
            <w:tcW w:type="dxa" w:w="2280"/>
          </w:tcPr>
          <w:p>
            <w:r>
              <w:t>Nominal</w:t>
            </w:r>
          </w:p>
        </w:tc>
        <w:tc>
          <w:tcPr>
            <w:tcW w:type="dxa" w:w="2280"/>
          </w:tcPr>
          <w:p>
            <w:r>
              <w:t>Useful</w:t>
            </w:r>
          </w:p>
        </w:tc>
        <w:tc>
          <w:tcPr>
            <w:tcW w:type="dxa" w:w="2280"/>
          </w:tcPr>
          <w:p>
            <w:r>
              <w:t>Has internet access (yes/no)</w:t>
            </w:r>
          </w:p>
        </w:tc>
      </w:tr>
      <w:tr>
        <w:tc>
          <w:tcPr>
            <w:tcW w:type="dxa" w:w="2280"/>
          </w:tcPr>
          <w:p>
            <w:r>
              <w:t>heures_sommeil</w:t>
            </w:r>
          </w:p>
        </w:tc>
        <w:tc>
          <w:tcPr>
            <w:tcW w:type="dxa" w:w="2280"/>
          </w:tcPr>
          <w:p>
            <w:r>
              <w:t>Numeric</w:t>
            </w:r>
          </w:p>
        </w:tc>
        <w:tc>
          <w:tcPr>
            <w:tcW w:type="dxa" w:w="2280"/>
          </w:tcPr>
          <w:p>
            <w:r>
              <w:t>Useful</w:t>
            </w:r>
          </w:p>
        </w:tc>
        <w:tc>
          <w:tcPr>
            <w:tcW w:type="dxa" w:w="2280"/>
          </w:tcPr>
          <w:p>
            <w:r>
              <w:t>Nightly sleep hours</w:t>
            </w:r>
          </w:p>
        </w:tc>
      </w:tr>
      <w:tr>
        <w:tc>
          <w:tcPr>
            <w:tcW w:type="dxa" w:w="2280"/>
          </w:tcPr>
          <w:p>
            <w:r>
              <w:t>qualité_sommeil</w:t>
            </w:r>
          </w:p>
        </w:tc>
        <w:tc>
          <w:tcPr>
            <w:tcW w:type="dxa" w:w="2280"/>
          </w:tcPr>
          <w:p>
            <w:r>
              <w:t>Ordinal</w:t>
            </w:r>
          </w:p>
        </w:tc>
        <w:tc>
          <w:tcPr>
            <w:tcW w:type="dxa" w:w="2280"/>
          </w:tcPr>
          <w:p>
            <w:r>
              <w:t>Useful</w:t>
            </w:r>
          </w:p>
        </w:tc>
        <w:tc>
          <w:tcPr>
            <w:tcW w:type="dxa" w:w="2280"/>
          </w:tcPr>
          <w:p>
            <w:r>
              <w:t>Sleep quality: poor / average / good</w:t>
            </w:r>
          </w:p>
        </w:tc>
      </w:tr>
      <w:tr>
        <w:tc>
          <w:tcPr>
            <w:tcW w:type="dxa" w:w="2280"/>
          </w:tcPr>
          <w:p>
            <w:r>
              <w:t>méthode_etude</w:t>
            </w:r>
          </w:p>
        </w:tc>
        <w:tc>
          <w:tcPr>
            <w:tcW w:type="dxa" w:w="2280"/>
          </w:tcPr>
          <w:p>
            <w:r>
              <w:t>Nominal</w:t>
            </w:r>
          </w:p>
        </w:tc>
        <w:tc>
          <w:tcPr>
            <w:tcW w:type="dxa" w:w="2280"/>
          </w:tcPr>
          <w:p>
            <w:r>
              <w:t>Useful</w:t>
            </w:r>
          </w:p>
        </w:tc>
        <w:tc>
          <w:tcPr>
            <w:tcW w:type="dxa" w:w="2280"/>
          </w:tcPr>
          <w:p>
            <w:r>
              <w:t>Study method used</w:t>
            </w:r>
          </w:p>
        </w:tc>
      </w:tr>
      <w:tr>
        <w:tc>
          <w:tcPr>
            <w:tcW w:type="dxa" w:w="2280"/>
          </w:tcPr>
          <w:p>
            <w:r>
              <w:t>évaluation_établissement</w:t>
            </w:r>
          </w:p>
        </w:tc>
        <w:tc>
          <w:tcPr>
            <w:tcW w:type="dxa" w:w="2280"/>
          </w:tcPr>
          <w:p>
            <w:r>
              <w:t>Ordinal</w:t>
            </w:r>
          </w:p>
        </w:tc>
        <w:tc>
          <w:tcPr>
            <w:tcW w:type="dxa" w:w="2280"/>
          </w:tcPr>
          <w:p>
            <w:r>
              <w:t>Useful</w:t>
            </w:r>
          </w:p>
        </w:tc>
        <w:tc>
          <w:tcPr>
            <w:tcW w:type="dxa" w:w="2280"/>
          </w:tcPr>
          <w:p>
            <w:r>
              <w:t>School rating: low / medium / high</w:t>
            </w:r>
          </w:p>
        </w:tc>
      </w:tr>
      <w:tr>
        <w:tc>
          <w:tcPr>
            <w:tcW w:type="dxa" w:w="2280"/>
          </w:tcPr>
          <w:p>
            <w:r>
              <w:t>difficulté_examen</w:t>
            </w:r>
          </w:p>
        </w:tc>
        <w:tc>
          <w:tcPr>
            <w:tcW w:type="dxa" w:w="2280"/>
          </w:tcPr>
          <w:p>
            <w:r>
              <w:t>Ordinal</w:t>
            </w:r>
          </w:p>
        </w:tc>
        <w:tc>
          <w:tcPr>
            <w:tcW w:type="dxa" w:w="2280"/>
          </w:tcPr>
          <w:p>
            <w:r>
              <w:t>Useful</w:t>
            </w:r>
          </w:p>
        </w:tc>
        <w:tc>
          <w:tcPr>
            <w:tcW w:type="dxa" w:w="2280"/>
          </w:tcPr>
          <w:p>
            <w:r>
              <w:t>Exam difficulty: easy / moderate / hard</w:t>
            </w:r>
          </w:p>
        </w:tc>
      </w:tr>
      <w:tr>
        <w:tc>
          <w:tcPr>
            <w:tcW w:type="dxa" w:w="2280"/>
          </w:tcPr>
          <w:p>
            <w:r>
              <w:t>heures_fête</w:t>
            </w:r>
          </w:p>
        </w:tc>
        <w:tc>
          <w:tcPr>
            <w:tcW w:type="dxa" w:w="2280"/>
          </w:tcPr>
          <w:p>
            <w:r>
              <w:t>Numeric</w:t>
            </w:r>
          </w:p>
        </w:tc>
        <w:tc>
          <w:tcPr>
            <w:tcW w:type="dxa" w:w="2280"/>
          </w:tcPr>
          <w:p>
            <w:r>
              <w:t>Useful</w:t>
            </w:r>
          </w:p>
        </w:tc>
        <w:tc>
          <w:tcPr>
            <w:tcW w:type="dxa" w:w="2280"/>
          </w:tcPr>
          <w:p>
            <w:r>
              <w:t>Weekly leisure / party hours</w:t>
            </w:r>
          </w:p>
        </w:tc>
      </w:tr>
    </w:tbl>
    <w:p/>
    <w:p>
      <w:pPr>
        <w:jc w:val="both"/>
      </w:pPr>
      <w:r>
        <w:rPr>
          <w:rFonts w:ascii="Calibri" w:hAnsi="Calibri"/>
          <w:b w:val="0"/>
          <w:i w:val="0"/>
          <w:sz w:val="22"/>
        </w:rPr>
        <w:t>Missing values were present in heures_etude, accès_internet, and méthode_etude. Numeric missing values were imputed with the median; categorical missing values were imputed with the mode before feature importance computation.</w:t>
      </w:r>
    </w:p>
    <w:p>
      <w:pPr>
        <w:pStyle w:val="Heading1"/>
        <w:jc w:val="left"/>
      </w:pPr>
      <w:r>
        <w:t>3. Exploratory Data Analysis</w:t>
      </w:r>
    </w:p>
    <w:p>
      <w:pPr>
        <w:pStyle w:val="Heading2"/>
        <w:jc w:val="left"/>
      </w:pPr>
      <w:r>
        <w:t>3.1 Target Variable Distribution</w:t>
      </w:r>
    </w:p>
    <w:p>
      <w:pPr>
        <w:jc w:val="both"/>
      </w:pPr>
      <w:r>
        <w:rPr>
          <w:rFonts w:ascii="Calibri" w:hAnsi="Calibri"/>
          <w:b w:val="0"/>
          <w:i w:val="0"/>
          <w:sz w:val="22"/>
        </w:rPr>
        <w:t>Figure 1 shows the histogram of exam scores overlaid with a Kernel Density Estimate (KDE). Three structural anomalies were identified:</w:t>
      </w:r>
    </w:p>
    <w:p>
      <w:pPr>
        <w:pStyle w:val="ListBullet"/>
      </w:pPr>
      <w:r>
        <w:rPr>
          <w:rFonts w:ascii="Calibri" w:hAnsi="Calibri"/>
          <w:b w:val="0"/>
          <w:i w:val="0"/>
          <w:sz w:val="22"/>
        </w:rPr>
        <w:t>Score = 19 anomaly (pink bars): an unusually high frequency at exactly 19 points, suggesting a systematic data-entry artefact or a coded special value (e.g. absent students assigned 19).</w:t>
      </w:r>
    </w:p>
    <w:p>
      <w:pPr>
        <w:pStyle w:val="ListBullet"/>
      </w:pPr>
      <w:r>
        <w:rPr>
          <w:rFonts w:ascii="Calibri" w:hAnsi="Calibri"/>
          <w:b w:val="0"/>
          <w:i w:val="0"/>
          <w:sz w:val="22"/>
        </w:rPr>
        <w:t>Score = 100 ceiling effect (orange bar): a disproportionate mass at the maximum score, indicating data capping or rounding.</w:t>
      </w:r>
    </w:p>
    <w:p>
      <w:pPr>
        <w:pStyle w:val="ListBullet"/>
      </w:pPr>
      <w:r>
        <w:rPr>
          <w:rFonts w:ascii="Calibri" w:hAnsi="Calibri"/>
          <w:b w:val="0"/>
          <w:i w:val="0"/>
          <w:sz w:val="22"/>
        </w:rPr>
        <w:t>Failure zone &lt;50 (red bars): approximately 15 % of students fall below the pass mark, confirming that failure is a meaningful minority class.</w:t>
      </w:r>
    </w:p>
    <w:p>
      <w:pPr>
        <w:jc w:val="both"/>
      </w:pPr>
      <w:r>
        <w:rPr>
          <w:rFonts w:ascii="Calibri" w:hAnsi="Calibri"/>
          <w:b w:val="0"/>
          <w:i w:val="0"/>
          <w:sz w:val="22"/>
        </w:rPr>
        <w:t>The KDE was computed excluding scores of 19 and 100 to avoid distortion. The remaining distribution is roughly unimodal and slightly left-skewed, with mean ≈ 72 and median ≈ 74.</w:t>
      </w:r>
    </w:p>
    <w:p>
      <w:pPr>
        <w:jc w:val="center"/>
      </w:pPr>
      <w:r>
        <w:rPr>
          <w:rFonts w:ascii="Calibri" w:hAnsi="Calibri"/>
          <w:b w:val="0"/>
          <w:i/>
          <w:color w:val="787878"/>
          <w:sz w:val="20"/>
        </w:rPr>
        <w:t>[ INSERT FIGURE: Figure 1 — Exam score distribution with KDE, failure zone, and annotated anomalies (Graph.py) ]</w:t>
      </w:r>
    </w:p>
    <w:p>
      <w:pPr>
        <w:jc w:val="center"/>
      </w:pPr>
      <w:r>
        <w:rPr>
          <w:rFonts w:ascii="Calibri" w:hAnsi="Calibri"/>
          <w:b w:val="0"/>
          <w:i/>
          <w:color w:val="505050"/>
          <w:sz w:val="18"/>
        </w:rPr>
        <w:t>Figure 1. Histogram of score_examen. Red dashed line = failure threshold (50). KDE excludes outliers at scores 19 and 100.</w:t>
      </w:r>
    </w:p>
    <w:p/>
    <w:p>
      <w:pPr>
        <w:pStyle w:val="Heading2"/>
        <w:jc w:val="left"/>
      </w:pPr>
      <w:r>
        <w:t>3.2 Feature Importance — Mutual Information</w:t>
      </w:r>
    </w:p>
    <w:p>
      <w:pPr>
        <w:jc w:val="both"/>
      </w:pPr>
      <w:r>
        <w:rPr>
          <w:rFonts w:ascii="Calibri" w:hAnsi="Calibri"/>
          <w:b w:val="0"/>
          <w:i w:val="0"/>
          <w:sz w:val="22"/>
        </w:rPr>
        <w:t>To quantify each predictor's relevance to failure risk, Mutual Information (MI) was computed between every feature and the binary target echec (score &lt; 50). Before the MI calculation, three engineered features were added:</w:t>
      </w:r>
    </w:p>
    <w:p>
      <w:pPr>
        <w:pStyle w:val="ListBullet"/>
      </w:pPr>
      <w:r>
        <w:rPr>
          <w:rFonts w:ascii="Calibri" w:hAnsi="Calibri"/>
          <w:b w:val="0"/>
          <w:i w:val="0"/>
          <w:sz w:val="22"/>
        </w:rPr>
        <w:t>ratio_etude_fete = heures_etude / (heures_fête + 1)  — contrasts productive and leisure time.</w:t>
      </w:r>
    </w:p>
    <w:p>
      <w:pPr>
        <w:pStyle w:val="ListBullet"/>
      </w:pPr>
      <w:r>
        <w:rPr>
          <w:rFonts w:ascii="Calibri" w:hAnsi="Calibri"/>
          <w:b w:val="0"/>
          <w:i w:val="0"/>
          <w:sz w:val="22"/>
        </w:rPr>
        <w:t>score_bien_etre = heures_sommeil / 12  — normalised sleep as a proxy for wellbeing.</w:t>
      </w:r>
    </w:p>
    <w:p>
      <w:pPr>
        <w:pStyle w:val="ListBullet"/>
      </w:pPr>
      <w:r>
        <w:rPr>
          <w:rFonts w:ascii="Calibri" w:hAnsi="Calibri"/>
          <w:b w:val="0"/>
          <w:i w:val="0"/>
          <w:sz w:val="22"/>
        </w:rPr>
        <w:t>engagement = assiduité_classe × heures_etude  — multiplicative interaction of attendance and effort.</w:t>
      </w:r>
    </w:p>
    <w:p>
      <w:pPr>
        <w:jc w:val="both"/>
      </w:pPr>
      <w:r>
        <w:rPr>
          <w:rFonts w:ascii="Calibri" w:hAnsi="Calibri"/>
          <w:b w:val="0"/>
          <w:i w:val="0"/>
          <w:sz w:val="22"/>
        </w:rPr>
        <w:t>Figure 2 presents the ranked MI scores. Features above the median (red dashed line) are coloured in a distinct shade. The dominant predictors are heures_etude, assiduité_classe, difficulté_examen, and engagement, confirming intuitions about academic behaviour. Demographic features such as age and genre show near-zero MI, justifying their exclusion.</w:t>
      </w:r>
    </w:p>
    <w:p>
      <w:pPr>
        <w:jc w:val="center"/>
      </w:pPr>
      <w:r>
        <w:rPr>
          <w:rFonts w:ascii="Calibri" w:hAnsi="Calibri"/>
          <w:b w:val="0"/>
          <w:i/>
          <w:color w:val="787878"/>
          <w:sz w:val="20"/>
        </w:rPr>
        <w:t>[ INSERT FIGURE: Figure 2 — Mutual Information importance ranking for all features (Graph.py) ]</w:t>
      </w:r>
    </w:p>
    <w:p>
      <w:pPr>
        <w:jc w:val="center"/>
      </w:pPr>
      <w:r>
        <w:rPr>
          <w:rFonts w:ascii="Calibri" w:hAnsi="Calibri"/>
          <w:b w:val="0"/>
          <w:i/>
          <w:color w:val="505050"/>
          <w:sz w:val="18"/>
        </w:rPr>
        <w:t>Figure 2. Mutual Information scores relative to the binary failure label. Red dashed line = median MI. Higher score = more informative predictor.</w:t>
      </w:r>
    </w:p>
    <w:p>
      <w:pPr>
        <w:pStyle w:val="Heading1"/>
        <w:jc w:val="left"/>
      </w:pPr>
      <w:r>
        <w:t>4. Data Preprocessing &amp; Encoding Strategy</w:t>
      </w:r>
    </w:p>
    <w:p>
      <w:pPr>
        <w:jc w:val="both"/>
      </w:pPr>
      <w:r>
        <w:rPr>
          <w:rFonts w:ascii="Calibri" w:hAnsi="Calibri"/>
          <w:b w:val="0"/>
          <w:i w:val="0"/>
          <w:sz w:val="22"/>
        </w:rPr>
        <w:t>Machine learning models require numerical inputs. The dataset contains three types of categorical features that require different treatments:</w:t>
      </w:r>
    </w:p>
    <w:p>
      <w:pPr>
        <w:pStyle w:val="ListBullet"/>
      </w:pPr>
      <w:r>
        <w:rPr>
          <w:rFonts w:ascii="Calibri" w:hAnsi="Calibri"/>
          <w:b w:val="0"/>
          <w:i w:val="0"/>
          <w:sz w:val="22"/>
        </w:rPr>
        <w:t>Ordinal features (qualité_sommeil, évaluation_établissement, difficulté_examen): mapped to integers preserving the natural order (e.g. poor=0, average=1, good=2).</w:t>
      </w:r>
    </w:p>
    <w:p>
      <w:pPr>
        <w:pStyle w:val="ListBullet"/>
      </w:pPr>
      <w:r>
        <w:rPr>
          <w:rFonts w:ascii="Calibri" w:hAnsi="Calibri"/>
          <w:b w:val="0"/>
          <w:i w:val="0"/>
          <w:sz w:val="22"/>
        </w:rPr>
        <w:t>Nominal features (genre, diplôme, accès_internet, méthode_etude): one-hot encoded, since no intrinsic ordering exists.</w:t>
      </w:r>
    </w:p>
    <w:p>
      <w:pPr>
        <w:pStyle w:val="ListBullet"/>
      </w:pPr>
      <w:r>
        <w:rPr>
          <w:rFonts w:ascii="Calibri" w:hAnsi="Calibri"/>
          <w:b w:val="0"/>
          <w:i w:val="0"/>
          <w:sz w:val="22"/>
        </w:rPr>
        <w:t>Numeric features (heures_etude, assiduité_classe, etc.): passed through without transformation.</w:t>
      </w:r>
    </w:p>
    <w:p>
      <w:pPr>
        <w:jc w:val="both"/>
      </w:pPr>
      <w:r>
        <w:rPr>
          <w:rFonts w:ascii="Calibri" w:hAnsi="Calibri"/>
          <w:b w:val="0"/>
          <w:i w:val="0"/>
          <w:sz w:val="22"/>
        </w:rPr>
        <w:t>All transformations are encapsulated in a single scikit-learn ColumnTransformer fitted exclusively on the training set and then applied to the validation set, preventing data leakage.</w:t>
      </w:r>
    </w:p>
    <w:p>
      <w:pPr>
        <w:jc w:val="both"/>
      </w:pPr>
      <w:r>
        <w:rPr>
          <w:rFonts w:ascii="Calibri" w:hAnsi="Calibri"/>
          <w:b w:val="0"/>
          <w:i w:val="0"/>
          <w:sz w:val="22"/>
        </w:rPr>
        <w:t>Table 2 summarises the six encoding strategies that were evaluated:</w:t>
      </w:r>
    </w:p>
    <w:tbl>
      <w:tblPr>
        <w:tblStyle w:val="LightList-Accent1"/>
        <w:tblW w:type="auto" w:w="0"/>
        <w:tblLook w:firstColumn="1" w:firstRow="1" w:lastColumn="0" w:lastRow="0" w:noHBand="0" w:noVBand="1" w:val="04A0"/>
      </w:tblPr>
      <w:tblGrid>
        <w:gridCol w:w="3041"/>
        <w:gridCol w:w="3041"/>
        <w:gridCol w:w="3041"/>
      </w:tblGrid>
      <w:tr>
        <w:tc>
          <w:tcPr>
            <w:tcW w:type="dxa" w:w="3041"/>
          </w:tcPr>
          <w:p>
            <w:r>
              <w:rPr>
                <w:b/>
              </w:rPr>
              <w:t>Method</w:t>
            </w:r>
          </w:p>
        </w:tc>
        <w:tc>
          <w:tcPr>
            <w:tcW w:type="dxa" w:w="3041"/>
          </w:tcPr>
          <w:p>
            <w:r>
              <w:rPr>
                <w:b/>
              </w:rPr>
              <w:t>MAE (validation)</w:t>
            </w:r>
          </w:p>
        </w:tc>
        <w:tc>
          <w:tcPr>
            <w:tcW w:type="dxa" w:w="3041"/>
          </w:tcPr>
          <w:p>
            <w:r>
              <w:rPr>
                <w:b/>
              </w:rPr>
              <w:t>Notes</w:t>
            </w:r>
          </w:p>
        </w:tc>
      </w:tr>
      <w:tr>
        <w:tc>
          <w:tcPr>
            <w:tcW w:type="dxa" w:w="3041"/>
          </w:tcPr>
          <w:p>
            <w:r>
              <w:t>Drop categorical</w:t>
            </w:r>
          </w:p>
        </w:tc>
        <w:tc>
          <w:tcPr>
            <w:tcW w:type="dxa" w:w="3041"/>
          </w:tcPr>
          <w:p>
            <w:r>
              <w:t>~9.00</w:t>
            </w:r>
          </w:p>
        </w:tc>
        <w:tc>
          <w:tcPr>
            <w:tcW w:type="dxa" w:w="3041"/>
          </w:tcPr>
          <w:p>
            <w:r>
              <w:t>Baseline — discards all categorical information</w:t>
            </w:r>
          </w:p>
        </w:tc>
      </w:tr>
      <w:tr>
        <w:tc>
          <w:tcPr>
            <w:tcW w:type="dxa" w:w="3041"/>
          </w:tcPr>
          <w:p>
            <w:r>
              <w:t>Ordinal encoding (auto)</w:t>
            </w:r>
          </w:p>
        </w:tc>
        <w:tc>
          <w:tcPr>
            <w:tcW w:type="dxa" w:w="3041"/>
          </w:tcPr>
          <w:p>
            <w:r>
              <w:t>~7.50</w:t>
            </w:r>
          </w:p>
        </w:tc>
        <w:tc>
          <w:tcPr>
            <w:tcW w:type="dxa" w:w="3041"/>
          </w:tcPr>
          <w:p>
            <w:r>
              <w:t>Arbitrary integer ordering for nominal features</w:t>
            </w:r>
          </w:p>
        </w:tc>
      </w:tr>
      <w:tr>
        <w:tc>
          <w:tcPr>
            <w:tcW w:type="dxa" w:w="3041"/>
          </w:tcPr>
          <w:p>
            <w:r>
              <w:t>Ordinal encoding (manual)</w:t>
            </w:r>
          </w:p>
        </w:tc>
        <w:tc>
          <w:tcPr>
            <w:tcW w:type="dxa" w:w="3041"/>
          </w:tcPr>
          <w:p>
            <w:r>
              <w:t>~7.51</w:t>
            </w:r>
          </w:p>
        </w:tc>
        <w:tc>
          <w:tcPr>
            <w:tcW w:type="dxa" w:w="3041"/>
          </w:tcPr>
          <w:p>
            <w:r>
              <w:t>Respects natural order of ordinal features</w:t>
            </w:r>
          </w:p>
        </w:tc>
      </w:tr>
      <w:tr>
        <w:tc>
          <w:tcPr>
            <w:tcW w:type="dxa" w:w="3041"/>
          </w:tcPr>
          <w:p>
            <w:r>
              <w:t>One-hot (pandas get_dummies)</w:t>
            </w:r>
          </w:p>
        </w:tc>
        <w:tc>
          <w:tcPr>
            <w:tcW w:type="dxa" w:w="3041"/>
          </w:tcPr>
          <w:p>
            <w:r>
              <w:t>~7.54</w:t>
            </w:r>
          </w:p>
        </w:tc>
        <w:tc>
          <w:tcPr>
            <w:tcW w:type="dxa" w:w="3041"/>
          </w:tcPr>
          <w:p>
            <w:r>
              <w:t>Correct for nominal; increases dimensionality</w:t>
            </w:r>
          </w:p>
        </w:tc>
      </w:tr>
      <w:tr>
        <w:tc>
          <w:tcPr>
            <w:tcW w:type="dxa" w:w="3041"/>
          </w:tcPr>
          <w:p>
            <w:r>
              <w:t>One-hot (ColumnTransformer)</w:t>
            </w:r>
          </w:p>
        </w:tc>
        <w:tc>
          <w:tcPr>
            <w:tcW w:type="dxa" w:w="3041"/>
          </w:tcPr>
          <w:p>
            <w:r>
              <w:t>~7.52</w:t>
            </w:r>
          </w:p>
        </w:tc>
        <w:tc>
          <w:tcPr>
            <w:tcW w:type="dxa" w:w="3041"/>
          </w:tcPr>
          <w:p>
            <w:r>
              <w:t>Sklearn pipeline; cleaner train/valid split</w:t>
            </w:r>
          </w:p>
        </w:tc>
      </w:tr>
      <w:tr>
        <w:tc>
          <w:tcPr>
            <w:tcW w:type="dxa" w:w="3041"/>
          </w:tcPr>
          <w:p>
            <w:r>
              <w:t>Mixed ordinal + one-hot</w:t>
            </w:r>
          </w:p>
        </w:tc>
        <w:tc>
          <w:tcPr>
            <w:tcW w:type="dxa" w:w="3041"/>
          </w:tcPr>
          <w:p>
            <w:r>
              <w:t>~7.52</w:t>
            </w:r>
          </w:p>
        </w:tc>
        <w:tc>
          <w:tcPr>
            <w:tcW w:type="dxa" w:w="3041"/>
          </w:tcPr>
          <w:p>
            <w:r>
              <w:t>Best conceptual fit; used as final pipeline</w:t>
            </w:r>
          </w:p>
        </w:tc>
      </w:tr>
    </w:tbl>
    <w:p>
      <w:pPr>
        <w:jc w:val="center"/>
      </w:pPr>
      <w:r>
        <w:rPr>
          <w:rFonts w:ascii="Calibri" w:hAnsi="Calibri"/>
          <w:b w:val="0"/>
          <w:i/>
          <w:color w:val="505050"/>
          <w:sz w:val="18"/>
        </w:rPr>
        <w:t>Table 2. Encoding strategies and resulting MAE on the validation set.</w:t>
      </w:r>
    </w:p>
    <w:p/>
    <w:p>
      <w:pPr>
        <w:jc w:val="both"/>
      </w:pPr>
      <w:r>
        <w:rPr>
          <w:rFonts w:ascii="Calibri" w:hAnsi="Calibri"/>
          <w:b w:val="0"/>
          <w:i w:val="0"/>
          <w:sz w:val="22"/>
        </w:rPr>
        <w:t>Dropping categorical columns serves as a naive baseline. Any encoding strategy that preserves categorical information reduces MAE from ~9.0 to ~7.5, a substantial improvement. Among encoding strategies the differences are small (&lt;0.05 MAE), but the mixed approach is conceptually the most principled: it respects the ordinal structure where it exists and avoids imposing a false ordering where it does not.</w:t>
      </w:r>
    </w:p>
    <w:p>
      <w:pPr>
        <w:pStyle w:val="Heading1"/>
        <w:jc w:val="left"/>
      </w:pPr>
      <w:r>
        <w:t>5. Model Development &amp; Comparison</w:t>
      </w:r>
    </w:p>
    <w:p>
      <w:pPr>
        <w:pStyle w:val="Heading2"/>
        <w:jc w:val="left"/>
      </w:pPr>
      <w:r>
        <w:t>5.1 Random Forest Regressor</w:t>
      </w:r>
    </w:p>
    <w:p>
      <w:pPr>
        <w:jc w:val="both"/>
      </w:pPr>
      <w:r>
        <w:rPr>
          <w:rFonts w:ascii="Calibri" w:hAnsi="Calibri"/>
          <w:b w:val="0"/>
          <w:i w:val="0"/>
          <w:sz w:val="22"/>
        </w:rPr>
        <w:t>A Random Forest is an ensemble of decision trees, each trained on a bootstrap sample and using a random feature subset at each split. Predictions are averaged across all trees, reducing variance without significantly increasing bias.</w:t>
      </w:r>
    </w:p>
    <w:p>
      <w:pPr>
        <w:jc w:val="both"/>
      </w:pPr>
      <w:r>
        <w:rPr>
          <w:rFonts w:ascii="Calibri" w:hAnsi="Calibri"/>
          <w:b w:val="0"/>
          <w:i w:val="0"/>
          <w:sz w:val="22"/>
        </w:rPr>
        <w:t>The key hyperparameter tuned was max_leaf_nodes, which controls tree depth and therefore model complexity. Ten values were evaluated on a geometric grid from 10 to 2000. Out-of-bag (OOB) scores were also tracked as an internal cross-validation signal. Figure 3 shows the MAE curve as a function of max_leaf_nodes.</w:t>
      </w:r>
    </w:p>
    <w:p>
      <w:pPr>
        <w:jc w:val="center"/>
      </w:pPr>
      <w:r>
        <w:rPr>
          <w:rFonts w:ascii="Calibri" w:hAnsi="Calibri"/>
          <w:b w:val="0"/>
          <w:i/>
          <w:color w:val="787878"/>
          <w:sz w:val="20"/>
        </w:rPr>
        <w:t>[ INSERT FIGURE: Figure 3 — Random Forest MAE vs. max_leaf_nodes (failure_prediction.py) ]</w:t>
      </w:r>
    </w:p>
    <w:p>
      <w:pPr>
        <w:jc w:val="center"/>
      </w:pPr>
      <w:r>
        <w:rPr>
          <w:rFonts w:ascii="Calibri" w:hAnsi="Calibri"/>
          <w:b w:val="0"/>
          <w:i/>
          <w:color w:val="505050"/>
          <w:sz w:val="18"/>
        </w:rPr>
        <w:t>Figure 3. Validation MAE for Random Forest as max_leaf_nodes increases. Red dashed line marks the optimal value.</w:t>
      </w:r>
    </w:p>
    <w:p>
      <w:pPr>
        <w:jc w:val="both"/>
      </w:pPr>
      <w:r>
        <w:rPr>
          <w:rFonts w:ascii="Calibri" w:hAnsi="Calibri"/>
          <w:b w:val="0"/>
          <w:i w:val="0"/>
          <w:sz w:val="22"/>
        </w:rPr>
        <w:t>MAE decreases sharply as trees are allowed more leaves, plateauing around max_leaf_nodes ≈ 500–1000. Beyond this point, additional complexity yields no validation improvement, suggesting that the model has captured the signal available in the data.</w:t>
      </w:r>
    </w:p>
    <w:p>
      <w:pPr>
        <w:pStyle w:val="Heading2"/>
        <w:jc w:val="left"/>
      </w:pPr>
      <w:r>
        <w:t>5.2 XGBoost Regressor</w:t>
      </w:r>
    </w:p>
    <w:p>
      <w:pPr>
        <w:jc w:val="both"/>
      </w:pPr>
      <w:r>
        <w:rPr>
          <w:rFonts w:ascii="Calibri" w:hAnsi="Calibri"/>
          <w:b w:val="0"/>
          <w:i w:val="0"/>
          <w:sz w:val="22"/>
        </w:rPr>
        <w:t>XGBoost (Extreme Gradient Boosting) builds trees sequentially, each one correcting the residual errors of the previous ensemble. Key configuration: n_estimators=1000, learning_rate=0.05, early_stopping_rounds=50. Early stopping halts training when validation RMSE has not improved for 50 consecutive rounds, preventing overfitting while avoiding manual tuning of the number of trees.</w:t>
      </w:r>
    </w:p>
    <w:p>
      <w:pPr>
        <w:jc w:val="both"/>
      </w:pPr>
      <w:r>
        <w:rPr>
          <w:rFonts w:ascii="Calibri" w:hAnsi="Calibri"/>
          <w:b w:val="0"/>
          <w:i w:val="0"/>
          <w:sz w:val="22"/>
        </w:rPr>
        <w:t>Figure 4 shows the RMSE learning curve over boosting rounds. RMSE decreases quickly in the first ~100 rounds, then slows and stabilises. The model converges well before the 1000-round limit, demonstrating that early stopping is effective.</w:t>
      </w:r>
    </w:p>
    <w:p>
      <w:pPr>
        <w:jc w:val="center"/>
      </w:pPr>
      <w:r>
        <w:rPr>
          <w:rFonts w:ascii="Calibri" w:hAnsi="Calibri"/>
          <w:b w:val="0"/>
          <w:i/>
          <w:color w:val="787878"/>
          <w:sz w:val="20"/>
        </w:rPr>
        <w:t>[ INSERT FIGURE: Figure 4 — XGBoost RMSE learning curve over boosting rounds (Graph.py / failure_prediction.py) ]</w:t>
      </w:r>
    </w:p>
    <w:p>
      <w:pPr>
        <w:jc w:val="center"/>
      </w:pPr>
      <w:r>
        <w:rPr>
          <w:rFonts w:ascii="Calibri" w:hAnsi="Calibri"/>
          <w:b w:val="0"/>
          <w:i/>
          <w:color w:val="505050"/>
          <w:sz w:val="18"/>
        </w:rPr>
        <w:t>Figure 4. Validation RMSE vs. number of XGBoost boosting rounds.</w:t>
      </w:r>
    </w:p>
    <w:p>
      <w:pPr>
        <w:pStyle w:val="Heading1"/>
        <w:jc w:val="left"/>
      </w:pPr>
      <w:r>
        <w:t>6. Results &amp; Discussion</w:t>
      </w:r>
    </w:p>
    <w:p>
      <w:pPr>
        <w:pStyle w:val="Heading2"/>
        <w:jc w:val="left"/>
      </w:pPr>
      <w:r>
        <w:t>6.1 Performance Summary</w:t>
      </w:r>
    </w:p>
    <w:p>
      <w:pPr>
        <w:jc w:val="both"/>
      </w:pPr>
      <w:r>
        <w:rPr>
          <w:rFonts w:ascii="Calibri" w:hAnsi="Calibri"/>
          <w:b w:val="0"/>
          <w:i w:val="0"/>
          <w:sz w:val="22"/>
        </w:rPr>
        <w:t>Both models were evaluated using Mean Absolute Error (MAE) on the 20 % validation set. Table 3 summarises the final results.</w:t>
      </w:r>
    </w:p>
    <w:tbl>
      <w:tblPr>
        <w:tblStyle w:val="LightList-Accent1"/>
        <w:tblW w:type="auto" w:w="0"/>
        <w:tblLook w:firstColumn="1" w:firstRow="1" w:lastColumn="0" w:lastRow="0" w:noHBand="0" w:noVBand="1" w:val="04A0"/>
      </w:tblPr>
      <w:tblGrid>
        <w:gridCol w:w="3041"/>
        <w:gridCol w:w="3041"/>
        <w:gridCol w:w="3041"/>
      </w:tblGrid>
      <w:tr>
        <w:tc>
          <w:tcPr>
            <w:tcW w:type="dxa" w:w="3041"/>
          </w:tcPr>
          <w:p>
            <w:r>
              <w:rPr>
                <w:b/>
              </w:rPr>
              <w:t>Model</w:t>
            </w:r>
          </w:p>
        </w:tc>
        <w:tc>
          <w:tcPr>
            <w:tcW w:type="dxa" w:w="3041"/>
          </w:tcPr>
          <w:p>
            <w:r>
              <w:rPr>
                <w:b/>
              </w:rPr>
              <w:t>Encoding</w:t>
            </w:r>
          </w:p>
        </w:tc>
        <w:tc>
          <w:tcPr>
            <w:tcW w:type="dxa" w:w="3041"/>
          </w:tcPr>
          <w:p>
            <w:r>
              <w:rPr>
                <w:b/>
              </w:rPr>
              <w:t>Validation MAE</w:t>
            </w:r>
          </w:p>
        </w:tc>
      </w:tr>
      <w:tr>
        <w:tc>
          <w:tcPr>
            <w:tcW w:type="dxa" w:w="3041"/>
          </w:tcPr>
          <w:p>
            <w:r>
              <w:t>Random Forest (best max_leaf_nodes)</w:t>
            </w:r>
          </w:p>
        </w:tc>
        <w:tc>
          <w:tcPr>
            <w:tcW w:type="dxa" w:w="3041"/>
          </w:tcPr>
          <w:p>
            <w:r>
              <w:t>Mixed ordinal + one-hot</w:t>
            </w:r>
          </w:p>
        </w:tc>
        <w:tc>
          <w:tcPr>
            <w:tcW w:type="dxa" w:w="3041"/>
          </w:tcPr>
          <w:p>
            <w:r>
              <w:t>~7.5</w:t>
            </w:r>
          </w:p>
        </w:tc>
      </w:tr>
      <w:tr>
        <w:tc>
          <w:tcPr>
            <w:tcW w:type="dxa" w:w="3041"/>
          </w:tcPr>
          <w:p>
            <w:r>
              <w:t>XGBoost (early stopping)</w:t>
            </w:r>
          </w:p>
        </w:tc>
        <w:tc>
          <w:tcPr>
            <w:tcW w:type="dxa" w:w="3041"/>
          </w:tcPr>
          <w:p>
            <w:r>
              <w:t>Mixed ordinal + one-hot</w:t>
            </w:r>
          </w:p>
        </w:tc>
        <w:tc>
          <w:tcPr>
            <w:tcW w:type="dxa" w:w="3041"/>
          </w:tcPr>
          <w:p>
            <w:r>
              <w:t>~7.2</w:t>
            </w:r>
          </w:p>
        </w:tc>
      </w:tr>
    </w:tbl>
    <w:p>
      <w:pPr>
        <w:jc w:val="center"/>
      </w:pPr>
      <w:r>
        <w:rPr>
          <w:rFonts w:ascii="Calibri" w:hAnsi="Calibri"/>
          <w:b w:val="0"/>
          <w:i/>
          <w:color w:val="505050"/>
          <w:sz w:val="18"/>
        </w:rPr>
        <w:t>Table 3. Final validation MAE for each model.</w:t>
      </w:r>
    </w:p>
    <w:p/>
    <w:p>
      <w:pPr>
        <w:pStyle w:val="Heading2"/>
        <w:jc w:val="left"/>
      </w:pPr>
      <w:r>
        <w:t>6.2 Critical Analysis</w:t>
      </w:r>
    </w:p>
    <w:p>
      <w:pPr>
        <w:jc w:val="both"/>
      </w:pPr>
      <w:r>
        <w:rPr>
          <w:rFonts w:ascii="Calibri" w:hAnsi="Calibri"/>
          <w:b w:val="0"/>
          <w:i w:val="0"/>
          <w:sz w:val="22"/>
        </w:rPr>
        <w:t>An MAE of ~7.2 means that, on average, the model's predicted score deviates by 7.2 points from the actual score. In the context of a 0–100 scale with a failure threshold at 50, this error margin is significant: a student predicted at 55 may still fail in reality. Consequently, the model should be used as a screening tool rather than a definitive assessment.</w:t>
      </w:r>
    </w:p>
    <w:p>
      <w:pPr>
        <w:jc w:val="both"/>
      </w:pPr>
      <w:r>
        <w:rPr>
          <w:rFonts w:ascii="Calibri" w:hAnsi="Calibri"/>
          <w:b w:val="0"/>
          <w:i w:val="0"/>
          <w:sz w:val="22"/>
        </w:rPr>
        <w:t>XGBoost slightly outperforms Random Forest (~7.2 vs ~7.5 MAE). This is consistent with the general literature: gradient boosting methods tend to achieve lower bias on tabular data because they learn from residuals iteratively, whereas Random Forest averages independent trees.</w:t>
      </w:r>
    </w:p>
    <w:p>
      <w:pPr>
        <w:jc w:val="both"/>
      </w:pPr>
      <w:r>
        <w:rPr>
          <w:rFonts w:ascii="Calibri" w:hAnsi="Calibri"/>
          <w:b w:val="0"/>
          <w:i w:val="0"/>
          <w:sz w:val="22"/>
        </w:rPr>
        <w:t>The two identified anomalies — score = 19 and the ceiling at 100 — represent a data quality issue. The score-19 cluster inflates error around that value, and the ceiling effect compresses the high-score distribution, making it harder for the model to distinguish very good students. Removing or re-coding these entries could improve both model accuracy and interpretability.</w:t>
      </w:r>
    </w:p>
    <w:p>
      <w:pPr>
        <w:jc w:val="both"/>
      </w:pPr>
      <w:r>
        <w:rPr>
          <w:rFonts w:ascii="Calibri" w:hAnsi="Calibri"/>
          <w:b w:val="0"/>
          <w:i w:val="0"/>
          <w:sz w:val="22"/>
        </w:rPr>
        <w:t>The Mutual Information analysis confirms that academic behaviour (study hours, attendance, engagement) dominates predictive power. Structural factors (exam difficulty, school rating) also matter, while demographic features (age, gender, height) contribute negligibly. This aligns with the educational psychology literature and supports the validity of the dataset.</w:t>
      </w:r>
    </w:p>
    <w:p>
      <w:pPr>
        <w:jc w:val="both"/>
      </w:pPr>
      <w:r>
        <w:rPr>
          <w:rFonts w:ascii="Calibri" w:hAnsi="Calibri"/>
          <w:b w:val="0"/>
          <w:i w:val="0"/>
          <w:sz w:val="22"/>
        </w:rPr>
        <w:t>A limitation of the current approach is the absence of cross-validation. The single 80/20 split means results may be sensitive to the particular random seed. Using k-fold cross-validation would provide more reliable MAE estimates and confidence intervals.</w:t>
      </w:r>
    </w:p>
    <w:p>
      <w:pPr>
        <w:pStyle w:val="Heading1"/>
        <w:jc w:val="left"/>
      </w:pPr>
      <w:r>
        <w:t>7. Conclusion</w:t>
      </w:r>
    </w:p>
    <w:p>
      <w:pPr>
        <w:jc w:val="both"/>
      </w:pPr>
      <w:r>
        <w:rPr>
          <w:rFonts w:ascii="Calibri" w:hAnsi="Calibri"/>
          <w:b w:val="0"/>
          <w:i w:val="0"/>
          <w:sz w:val="22"/>
        </w:rPr>
        <w:t>This project demonstrated a complete supervised learning pipeline for predicting student exam scores. The key findings are:</w:t>
      </w:r>
    </w:p>
    <w:p>
      <w:pPr>
        <w:pStyle w:val="ListBullet"/>
      </w:pPr>
      <w:r>
        <w:rPr>
          <w:rFonts w:ascii="Calibri" w:hAnsi="Calibri"/>
          <w:b w:val="0"/>
          <w:i w:val="0"/>
          <w:sz w:val="22"/>
        </w:rPr>
        <w:t>Encoding strategy matters: discarding categorical features increases MAE by ~20 %; any principled encoding recovers most of this loss.</w:t>
      </w:r>
    </w:p>
    <w:p>
      <w:pPr>
        <w:pStyle w:val="ListBullet"/>
      </w:pPr>
      <w:r>
        <w:rPr>
          <w:rFonts w:ascii="Calibri" w:hAnsi="Calibri"/>
          <w:b w:val="0"/>
          <w:i w:val="0"/>
          <w:sz w:val="22"/>
        </w:rPr>
        <w:t>XGBoost with early stopping achieves the best MAE (~7.2) and is the recommended model.</w:t>
      </w:r>
    </w:p>
    <w:p>
      <w:pPr>
        <w:pStyle w:val="ListBullet"/>
      </w:pPr>
      <w:r>
        <w:rPr>
          <w:rFonts w:ascii="Calibri" w:hAnsi="Calibri"/>
          <w:b w:val="0"/>
          <w:i w:val="0"/>
          <w:sz w:val="22"/>
        </w:rPr>
        <w:t>The most informative features are study hours, attendance, and their interaction, validating the behavioural interpretation of academic failure.</w:t>
      </w:r>
    </w:p>
    <w:p>
      <w:pPr>
        <w:pStyle w:val="ListBullet"/>
      </w:pPr>
      <w:r>
        <w:rPr>
          <w:rFonts w:ascii="Calibri" w:hAnsi="Calibri"/>
          <w:b w:val="0"/>
          <w:i w:val="0"/>
          <w:sz w:val="22"/>
        </w:rPr>
        <w:t>Data quality issues (score-19 anomaly, score-100 ceiling) limit the model's upper-bound accuracy and should be addressed in a production setting.</w:t>
      </w:r>
    </w:p>
    <w:p>
      <w:pPr>
        <w:jc w:val="both"/>
      </w:pPr>
      <w:r>
        <w:rPr>
          <w:rFonts w:ascii="Calibri" w:hAnsi="Calibri"/>
          <w:b w:val="0"/>
          <w:i w:val="0"/>
          <w:sz w:val="22"/>
        </w:rPr>
        <w:t>Future work could include: (1) k-fold cross-validation for more robust evaluation; (2) investigation and correction of the score-19 anomaly; (3) hyperparameter search (learning rate, depth, subsampling) for XGBoost; and (4) a classification head to directly predict pass/fail probability, which may be more actionable for advisors.</w:t>
      </w:r>
    </w:p>
    <w:p>
      <w:pPr>
        <w:pStyle w:val="Heading1"/>
        <w:jc w:val="left"/>
      </w:pPr>
      <w:r>
        <w:t>References</w:t>
      </w:r>
    </w:p>
    <w:p>
      <w:pPr>
        <w:pStyle w:val="ListNumber"/>
      </w:pPr>
      <w:r>
        <w:rPr>
          <w:rFonts w:ascii="Calibri" w:hAnsi="Calibri"/>
          <w:b w:val="0"/>
          <w:i w:val="0"/>
          <w:sz w:val="20"/>
        </w:rPr>
        <w:t>Chen, T., &amp; Guestrin, C. (2016). XGBoost: A scalable tree boosting system. Proceedings of the 22nd ACM SIGKDD International Conference on Knowledge Discovery and Data Mining, 785–794.</w:t>
      </w:r>
    </w:p>
    <w:p>
      <w:pPr>
        <w:pStyle w:val="ListNumber"/>
      </w:pPr>
      <w:r>
        <w:rPr>
          <w:rFonts w:ascii="Calibri" w:hAnsi="Calibri"/>
          <w:b w:val="0"/>
          <w:i w:val="0"/>
          <w:sz w:val="20"/>
        </w:rPr>
        <w:t>Breiman, L. (2001). Random forests. Machine Learning, 45(1), 5–32.</w:t>
      </w:r>
    </w:p>
    <w:p>
      <w:pPr>
        <w:pStyle w:val="ListNumber"/>
      </w:pPr>
      <w:r>
        <w:rPr>
          <w:rFonts w:ascii="Calibri" w:hAnsi="Calibri"/>
          <w:b w:val="0"/>
          <w:i w:val="0"/>
          <w:sz w:val="20"/>
        </w:rPr>
        <w:t>Pedregosa, F., et al. (2011). Scikit-learn: Machine learning in Python. Journal of Machine Learning Research, 12, 2825–2830.</w:t>
      </w:r>
    </w:p>
    <w:p>
      <w:pPr>
        <w:pStyle w:val="ListNumber"/>
      </w:pPr>
      <w:r>
        <w:rPr>
          <w:rFonts w:ascii="Calibri" w:hAnsi="Calibri"/>
          <w:b w:val="0"/>
          <w:i w:val="0"/>
          <w:sz w:val="20"/>
        </w:rPr>
        <w:t>Cover, T., &amp; Thomas, J. (2006). Elements of Information Theory (2nd ed.). Wiley.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