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Reusing views with part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als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blocks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decorators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Defining multiple layouts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Pagination and sorting data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tabs>
          <w:tab w:leader="none" w:pos="323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3.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ActiveRecord</w:t>
      </w:r>
      <w:r>
        <w:rPr>
          <w:rStyle w:val="CharStyle5"/>
          <w:shd w:val="clear" w:color="auto" w:fill="80FFFF"/>
        </w:rPr>
        <w:t>,</w:t>
      </w:r>
      <w:r>
        <w:rPr>
          <w:rStyle w:val="CharStyle5"/>
        </w:rPr>
        <w:t xml:space="preserve"> Model, and Database</w:t>
      </w:r>
      <w:r>
        <w:rPr>
          <w:rStyle w:val="CharStyle5"/>
        </w:rPr>
        <w:t xml:space="preserve"> </w:t>
      </w:r>
      <w:r>
        <w:rPr>
          <w:rStyle w:val="CharStyle5"/>
        </w:rPr>
        <w:t>Introduction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Getting data from a database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Defining and using m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ltiple DB connections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Cross-database relations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stomizing the ActiveQuery class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