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AJAX validation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Creating a custom client-side validation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There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5.</w:t>
      </w:r>
      <w:r>
        <w:rPr>
          <w:rStyle w:val="CharStyle6"/>
          <w:lang w:val="en-US" w:eastAsia="en-US" w:bidi="en-US"/>
        </w:rPr>
        <w:tab/>
      </w:r>
      <w:r>
        <w:rPr>
          <w:rStyle w:val="CharStyle5"/>
        </w:rPr>
        <w:t>Security</w:t>
      </w:r>
      <w:r>
        <w:rPr>
          <w:rStyle w:val="CharStyle5"/>
        </w:rPr>
        <w:t xml:space="preserve"> </w:t>
      </w:r>
      <w:r>
        <w:rPr>
          <w:rStyle w:val="CharStyle5"/>
        </w:rPr>
        <w:t>Introduction</w:t>
      </w:r>
      <w:r>
        <w:rPr>
          <w:rStyle w:val="CharStyle5"/>
        </w:rPr>
        <w:t xml:space="preserve"> </w:t>
      </w:r>
      <w:r>
        <w:rPr>
          <w:rStyle w:val="CharStyle5"/>
        </w:rPr>
        <w:t>Authentication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Using contro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ler filters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  <w:r>
        <w:rPr>
          <w:rStyle w:val="CharStyle5"/>
        </w:rPr>
        <w:t xml:space="preserve"> </w:t>
      </w:r>
      <w:r>
        <w:rPr>
          <w:rStyle w:val="CharStyle5"/>
        </w:rPr>
        <w:t>Preventing XSS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XSS types</w:t>
      </w:r>
      <w:r>
        <w:rPr>
          <w:rStyle w:val="CharStyle5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Preventing SQL injections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Preventing CSRF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04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1024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