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Making extensions distribution-ready</w:t>
      </w:r>
      <w:r>
        <w:rPr>
          <w:rStyle w:val="CharStyle5"/>
        </w:rPr>
        <w:t xml:space="preserve"> </w:t>
      </w:r>
      <w:r>
        <w:rPr>
          <w:rStyle w:val="CharStyle5"/>
        </w:rPr>
        <w:t>Getting read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9</w:t>
      </w:r>
      <w:r>
        <w:rPr>
          <w:rStyle w:val="CharStyle5"/>
          <w:shd w:val="clear" w:color="auto" w:fill="80FFFF"/>
        </w:rPr>
        <w:t>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Performance Tuning</w:t>
      </w:r>
      <w:r>
        <w:rPr>
          <w:rStyle w:val="CharStyle5"/>
        </w:rPr>
        <w:t xml:space="preserve"> </w:t>
      </w:r>
      <w:r>
        <w:rPr>
          <w:rStyle w:val="CharStyle5"/>
        </w:rPr>
        <w:t>Following best practices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Speeding up session handling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cache dependencies and chains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Profiling an application with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Leveraging HTTP caching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Last-Mo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ifie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Entity Tag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Combining and minimizing assets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rStyle w:val="CharStyle5"/>
        </w:rPr>
        <w:t>Running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2 on HHVM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