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Sections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book, you will find several headings that appear frequently (Getting 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How to do </w:t>
      </w:r>
      <w:r>
        <w:rPr>
          <w:rStyle w:val="CharStyle7"/>
        </w:rPr>
        <w:t>it</w:t>
      </w:r>
      <w:r>
        <w:rPr>
          <w:rStyle w:val="CharStyle7"/>
          <w:shd w:val="clear" w:color="auto" w:fill="80FFFF"/>
        </w:rPr>
        <w:t>..</w:t>
      </w:r>
      <w:r>
        <w:rPr>
          <w:rStyle w:val="CharStyle7"/>
        </w:rPr>
        <w:t>How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See also).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To give clear instructions on how to complete a recipe, we use these sections as follows: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section tells you what to expect in the recipe, and describes how to set up any software or any preliminary settings required for the recipe.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section contains the steps required to follow the recipe.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section usually consists of a detailed explanation of what happened in the previous section.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4" w:name="bookmark4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4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section consists of additional information about the recipe in order to make the reader more knowledgeable about the recipe.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5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section provides helpful links to other useful information for the recipe.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