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5pt;height:341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this case we have the main </w:t>
      </w:r>
      <w:r>
        <w:rPr>
          <w:rStyle w:val="CharStyle7"/>
        </w:rPr>
        <w:t>s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oppingCart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with a low-level dependency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defined by an abstraction interface: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 xml:space="preserve">class ShoppingCart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</w:t>
        <w:tab/>
        <w:t xml:space="preserve">construct(StorageInterface $storage) </w:t>
      </w:r>
      <w:r>
        <w:rPr>
          <w:rStyle w:val="CharStyle10"/>
          <w:shd w:val="clear" w:color="auto" w:fill="80FFFF"/>
        </w:rPr>
        <w:t>{</w:t>
      </w:r>
      <w:r>
        <w:rPr>
          <w:rStyle w:val="CharStyle10"/>
        </w:rPr>
        <w:t xml:space="preserve"> ... </w:t>
      </w: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0"/>
        </w:rPr>
        <w:t xml:space="preserve">interface StorageInterface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loa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();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save(array $ite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And we have some an implementation of the abstraction: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10"/>
        </w:rPr>
        <w:t>class SessionStorage implements StorageInterface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