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yii\web\View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&lt;p&gt;&lt;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l::a('&lt; back to posts', Url::toRoute('post/in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'));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ml::e</w:t>
      </w:r>
      <w:r>
        <w:rPr>
          <w:rStyle w:val="CharStyle5"/>
        </w:rPr>
        <w:t>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el-&gt;titl</w:t>
      </w:r>
      <w:r>
        <w:rPr>
          <w:rStyle w:val="CharStyle5"/>
          <w:shd w:val="clear" w:color="auto" w:fill="80FFFF"/>
        </w:rPr>
        <w:t>e);?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&lt;p&gt;&lt;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Html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>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el-&gt;content);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&gt;&lt;/p&gt;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360"/>
      </w:pPr>
      <w:r>
        <w:rPr>
          <w:rStyle w:val="CharStyle8"/>
        </w:rPr>
        <w:t xml:space="preserve">To use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standalone actions, we declared it in the action map by overriding the actions method. 8.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post/in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9pt;">
            <v:imagedata r:id="rId5" r:href="rId6"/>
          </v:shape>
        </w:pic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Every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can be built from standalone actions, like a puzzle from pieces. The difference is that you can make standalone actions very flexible and reuse them in many places.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