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"http://www.yiiframework.com/doc-2.0/guide-db-dao.html%23performing-transactions" </w:instrText>
      </w:r>
      <w:r>
        <w:fldChar w:fldCharType="separate"/>
      </w:r>
      <w:r>
        <w:rPr>
          <w:rStyle w:val="Hyperlink"/>
        </w:rPr>
        <w:t>http://www.yiiframework.eom/doc-2.0/guide-db-dao.html#performing-transactions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"http://www.yiiframework.com/doc-2.0/guide-db-dao.html%23nesting-transactions" </w:instrText>
      </w:r>
      <w:r>
        <w:fldChar w:fldCharType="separate"/>
      </w:r>
      <w:r>
        <w:rPr>
          <w:rStyle w:val="Hyperlink"/>
        </w:rPr>
        <w:t>http://www.viiframework.com/doc-2.0/guide-db-dao.html#nesting-transactions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84" w:left="1245" w:right="1259" w:bottom="25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