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restrict access to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actions by using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accessRules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method, don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forget to grant everyone access to them: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be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aviors()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 xml:space="preserve">return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access'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AccessControl</w:t>
      </w:r>
      <w:r>
        <w:rPr>
          <w:rStyle w:val="CharStyle10"/>
          <w:shd w:val="clear" w:color="auto" w:fill="80FFFF"/>
        </w:rPr>
        <w:t>::</w:t>
      </w:r>
      <w:r>
        <w:rPr>
          <w:rStyle w:val="CharStyle10"/>
        </w:rPr>
        <w:t>classNa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e(),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rules'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actions'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['</w:t>
      </w:r>
      <w:r>
        <w:rPr>
          <w:rStyle w:val="CharStyle10"/>
        </w:rPr>
        <w:t>index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</w:t>
      </w:r>
      <w:r>
        <w:rPr>
          <w:rStyle w:val="CharStyle10"/>
          <w:shd w:val="clear" w:color="auto" w:fill="80FFFF"/>
        </w:rPr>
        <w:t>'],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allow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true,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