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8pt;height:183pt;">
            <v:imagedata r:id="rId5" r:href="rId6"/>
          </v:shape>
        </w:pict>
      </w:r>
    </w:p>
    <w:p>
      <w:pPr>
        <w:widowControl w:val="0"/>
        <w:spacing w:line="960" w:lineRule="exact"/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 you enter fewer than ten words, client-side validation will be successful:</w:t>
      </w:r>
    </w:p>
    <w:p>
      <w:pPr>
        <w:widowControl w:val="0"/>
        <w:rPr>
          <w:sz w:val="2"/>
          <w:szCs w:val="2"/>
        </w:rPr>
      </w:pPr>
      <w:r>
        <w:pict>
          <v:shape id="_x0000_s1027" type="#_x0000_t75" style="width:468pt;height:165pt;">
            <v:imagedata r:id="rId7" r:href="rId8"/>
          </v:shape>
        </w:pic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First, we created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app/co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ponents/wor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svali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ato</w:t>
      </w:r>
      <w:r>
        <w:rPr>
          <w:rStyle w:val="CharStyle7"/>
          <w:shd w:val="clear" w:color="auto" w:fill="80FFFF"/>
        </w:rPr>
        <w:t>r.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which extends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yii\vali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ators\vali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ator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class, and added the newly-created validator class to the title attribute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</w:t>
      </w:r>
      <w:r>
        <w:rPr>
          <w:rStyle w:val="CharStyle7"/>
        </w:rPr>
        <w:t xml:space="preserve">Article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title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Wor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sVali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ator::classNa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e(),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size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10],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Inside our validator, we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ve defined two special methods:</w:t>
      </w:r>
      <w:r>
        <w:rPr>
          <w:rStyle w:val="CharStyle7"/>
        </w:rPr>
        <w:t xml:space="preserve"> 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atevalue</w:t>
      </w:r>
      <w:r>
        <w:rPr>
          <w:rStyle w:val="CharStyle7"/>
          <w:shd w:val="clear" w:color="auto" w:fill="80FFFF"/>
        </w:rPr>
        <w:t>()</w:t>
      </w:r>
      <w:r>
        <w:rPr>
          <w:rStyle w:val="CharStyle7"/>
        </w:rPr>
        <w:t xml:space="preserve"> and clientVali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ateAttribute</w:t>
      </w:r>
      <w:r>
        <w:rPr>
          <w:rStyle w:val="CharStyle7"/>
          <w:shd w:val="clear" w:color="auto" w:fill="80FFFF"/>
        </w:rPr>
        <w:t>().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1" w:right="127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