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rStyle w:val="CharStyle8"/>
        </w:rPr>
        <w:t>By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default, the </w:t>
      </w:r>
      <w:r>
        <w:rPr>
          <w:rStyle w:val="CharStyle7"/>
        </w:rPr>
        <w:t>yii\base\wi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ge</w:t>
      </w:r>
      <w:r>
        <w:rPr>
          <w:rStyle w:val="CharStyle7"/>
          <w:shd w:val="clear" w:color="auto" w:fill="80FFFF"/>
        </w:rPr>
        <w:t>t: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:</w:t>
      </w:r>
      <w:r>
        <w:rPr>
          <w:rStyle w:val="CharStyle7"/>
        </w:rPr>
        <w:t xml:space="preserve"> get</w:t>
      </w:r>
      <w:r>
        <w:rPr>
          <w:rStyle w:val="CharStyle7"/>
          <w:shd w:val="clear" w:color="auto" w:fill="80FFFF"/>
        </w:rPr>
        <w:t>id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method increments identifiers, and therefore widgets, on any page that has incremented attributes: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&lt;nav 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="w0"&gt;...&lt;/nav&gt; </w:t>
      </w:r>
      <w:r>
        <w:rPr>
          <w:rStyle w:val="CharStyle7"/>
          <w:shd w:val="clear" w:color="auto" w:fill="80FFFF"/>
        </w:rPr>
        <w:t>//</w:t>
      </w:r>
      <w:r>
        <w:rPr>
          <w:rStyle w:val="CharStyle7"/>
        </w:rPr>
        <w:t xml:space="preserve"> Main navigation &lt;ul 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="w1"&gt;...&lt;/ul&gt; </w:t>
      </w:r>
      <w:r>
        <w:rPr>
          <w:rStyle w:val="CharStyle7"/>
          <w:shd w:val="clear" w:color="auto" w:fill="80FFFF"/>
        </w:rPr>
        <w:t>//</w:t>
      </w:r>
      <w:r>
        <w:rPr>
          <w:rStyle w:val="CharStyle7"/>
        </w:rPr>
        <w:t xml:space="preserve"> Breadcrumbs widget &lt;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iv id="w2"&gt;...&lt;/div&gt; </w:t>
      </w:r>
      <w:r>
        <w:rPr>
          <w:rStyle w:val="CharStyle7"/>
          <w:shd w:val="clear" w:color="auto" w:fill="80FFFF"/>
        </w:rPr>
        <w:t>//</w:t>
      </w:r>
      <w:r>
        <w:rPr>
          <w:rStyle w:val="CharStyle7"/>
        </w:rPr>
        <w:t xml:space="preserve"> Pjax widget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To render using the </w:t>
      </w:r>
      <w:r>
        <w:rPr>
          <w:rStyle w:val="CharStyle7"/>
        </w:rPr>
        <w:t>ren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erPartial() or ren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erAjax()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methods, without rendering the layout, your own page will have only one widget with the number </w:t>
      </w:r>
      <w:r>
        <w:rPr>
          <w:rStyle w:val="CharStyle9"/>
          <w:b w:val="0"/>
          <w:bCs w:val="0"/>
          <w:shd w:val="clear" w:color="auto" w:fill="80FFFF"/>
        </w:rPr>
        <w:t>0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iv id="w0"&gt;...&lt;/div&gt; </w:t>
      </w:r>
      <w:r>
        <w:rPr>
          <w:rStyle w:val="CharStyle7"/>
          <w:shd w:val="clear" w:color="auto" w:fill="80FFFF"/>
        </w:rPr>
        <w:t>//</w:t>
      </w:r>
      <w:r>
        <w:rPr>
          <w:rStyle w:val="CharStyle7"/>
        </w:rPr>
        <w:t xml:space="preserve"> Pjax widget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 the result, your own widget will not have found its own block with the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w</w:t>
      </w:r>
      <w:r>
        <w:rPr>
          <w:rStyle w:val="CharStyle9"/>
          <w:b w:val="0"/>
          <w:bCs w:val="0"/>
          <w:shd w:val="clear" w:color="auto" w:fill="80FFFF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selector at the next request.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However, </w:t>
      </w:r>
      <w:r>
        <w:rPr>
          <w:rStyle w:val="CharStyle8"/>
        </w:rPr>
        <w:t>Pjax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will find the same block with the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w</w:t>
      </w:r>
      <w:r>
        <w:rPr>
          <w:rStyle w:val="CharStyle9"/>
          <w:b w:val="0"/>
          <w:bCs w:val="0"/>
          <w:shd w:val="clear" w:color="auto" w:fill="80FFFF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selector in the Ajax response. In the result, your own widget will not have found the block with the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w</w:t>
      </w:r>
      <w:r>
        <w:rPr>
          <w:rStyle w:val="CharStyle9"/>
          <w:b w:val="0"/>
          <w:bCs w:val="0"/>
          <w:shd w:val="clear" w:color="auto" w:fill="80FFFF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selector at the next request.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Therefore, you must manually specify a unique identifier for all your </w:t>
      </w:r>
      <w:r>
        <w:rPr>
          <w:rStyle w:val="CharStyle8"/>
        </w:rPr>
        <w:t>Pjax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widgets to avoid different conflicts: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 Pjax::begin</w:t>
      </w:r>
      <w:r>
        <w:rPr>
          <w:rStyle w:val="CharStyle7"/>
          <w:shd w:val="clear" w:color="auto" w:fill="80FFFF"/>
        </w:rPr>
        <w:t>(['</w:t>
      </w:r>
      <w:r>
        <w:rPr>
          <w:rStyle w:val="CharStyle7"/>
        </w:rPr>
        <w:t>id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countries</w:t>
      </w:r>
      <w:r>
        <w:rPr>
          <w:rStyle w:val="CharStyle7"/>
          <w:shd w:val="clear" w:color="auto" w:fill="80FFFF"/>
        </w:rPr>
        <w:t>'])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&lt;?=</w:t>
      </w:r>
      <w:r>
        <w:rPr>
          <w:rStyle w:val="CharStyle7"/>
        </w:rPr>
        <w:t xml:space="preserve"> Gri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View::wi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get</w:t>
      </w:r>
      <w:r>
        <w:rPr>
          <w:rStyle w:val="CharStyle7"/>
          <w:shd w:val="clear" w:color="auto" w:fill="80FFFF"/>
        </w:rPr>
        <w:t>([...]);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 Pjax</w:t>
      </w:r>
      <w:r>
        <w:rPr>
          <w:rStyle w:val="CharStyle7"/>
          <w:shd w:val="clear" w:color="auto" w:fill="80FFFF"/>
        </w:rPr>
        <w:t>::e</w:t>
      </w:r>
      <w:r>
        <w:rPr>
          <w:rStyle w:val="CharStyle7"/>
        </w:rPr>
        <w:t>n</w:t>
      </w:r>
      <w:r>
        <w:rPr>
          <w:rStyle w:val="CharStyle7"/>
          <w:shd w:val="clear" w:color="auto" w:fill="80FFFF"/>
        </w:rPr>
        <w:t>d()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0"/>
          <w:shd w:val="clear" w:color="auto" w:fill="80FFFF"/>
        </w:rPr>
        <w:t>?&gt;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0" w:name="bookmark0"/>
      <w:r>
        <w:rPr>
          <w:rStyle w:val="CharStyle13"/>
          <w:b/>
          <w:bCs/>
        </w:rPr>
        <w:t>Using ActiveFor</w:t>
      </w:r>
      <w:r>
        <w:rPr>
          <w:rStyle w:val="CharStyle13"/>
          <w:b/>
          <w:bCs/>
          <w:shd w:val="clear" w:color="auto" w:fill="80FFFF"/>
        </w:rPr>
        <w:t>m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8"/>
        </w:rPr>
        <w:t>By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default, </w:t>
      </w:r>
      <w:r>
        <w:rPr>
          <w:rStyle w:val="CharStyle8"/>
        </w:rPr>
        <w:t>Pjax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works only with links in the wrapped block. If you want to use it with the </w:t>
      </w:r>
      <w:r>
        <w:rPr>
          <w:rStyle w:val="CharStyle7"/>
        </w:rPr>
        <w:t xml:space="preserve">ActiveForm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widget, you must use the 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ata-pj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ax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option of the form: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use \yii\wi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gets\Pjax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use \yii\wi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gets\ActiveFor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 yii\wi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gets\Pjax::begin(['i</w:t>
      </w:r>
      <w:r>
        <w:rPr>
          <w:rStyle w:val="CharStyle7"/>
          <w:shd w:val="clear" w:color="auto" w:fill="80FFFF"/>
        </w:rPr>
        <w:t>d'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'm</w:t>
      </w:r>
      <w:r>
        <w:rPr>
          <w:rStyle w:val="CharStyle7"/>
        </w:rPr>
        <w:t>y-b</w:t>
      </w:r>
      <w:r>
        <w:rPr>
          <w:rStyle w:val="CharStyle7"/>
          <w:shd w:val="clear" w:color="auto" w:fill="80FFFF"/>
        </w:rPr>
        <w:t>l</w:t>
      </w:r>
      <w:r>
        <w:rPr>
          <w:rStyle w:val="CharStyle7"/>
        </w:rPr>
        <w:t>ock</w:t>
      </w:r>
      <w:r>
        <w:rPr>
          <w:rStyle w:val="CharStyle7"/>
          <w:shd w:val="clear" w:color="auto" w:fill="80FFFF"/>
        </w:rPr>
        <w:t>'])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 $for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ActiveFor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::begin(['options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'd</w:t>
      </w:r>
      <w:r>
        <w:rPr>
          <w:rStyle w:val="CharStyle7"/>
        </w:rPr>
        <w:t>ata-pjax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true,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]]);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&lt;?=</w:t>
      </w:r>
      <w:r>
        <w:rPr>
          <w:rStyle w:val="CharStyle7"/>
        </w:rPr>
        <w:t xml:space="preserve"> $for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-&gt;fiel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($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el,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name</w:t>
      </w:r>
      <w:r>
        <w:rPr>
          <w:rStyle w:val="CharStyle7"/>
          <w:shd w:val="clear" w:color="auto" w:fill="80FFFF"/>
        </w:rPr>
        <w:t>')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 ActiveFor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::en</w:t>
      </w:r>
      <w:r>
        <w:rPr>
          <w:rStyle w:val="CharStyle7"/>
          <w:shd w:val="clear" w:color="auto" w:fill="80FFFF"/>
        </w:rPr>
        <w:t>d();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 Pjax</w:t>
      </w:r>
      <w:r>
        <w:rPr>
          <w:rStyle w:val="CharStyle7"/>
          <w:shd w:val="clear" w:color="auto" w:fill="80FFFF"/>
        </w:rPr>
        <w:t>::e</w:t>
      </w:r>
      <w:r>
        <w:rPr>
          <w:rStyle w:val="CharStyle7"/>
        </w:rPr>
        <w:t>n</w:t>
      </w:r>
      <w:r>
        <w:rPr>
          <w:rStyle w:val="CharStyle7"/>
          <w:shd w:val="clear" w:color="auto" w:fill="80FFFF"/>
        </w:rPr>
        <w:t>d();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0"/>
          <w:shd w:val="clear" w:color="auto" w:fill="80FFFF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It adds corresponding listeners on the form submitting event.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You can also use the </w:t>
      </w:r>
      <w:r>
        <w:rPr>
          <w:rStyle w:val="CharStyle7"/>
        </w:rPr>
        <w:t>$for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Selector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option of the </w:t>
      </w:r>
      <w:r>
        <w:rPr>
          <w:rStyle w:val="CharStyle8"/>
        </w:rPr>
        <w:t>Pjax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widget to specify which form submission may trigger </w:t>
      </w:r>
      <w:r>
        <w:rPr>
          <w:rStyle w:val="CharStyle7"/>
        </w:rPr>
        <w:t>pjax.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1" w:name="bookmark1"/>
      <w:r>
        <w:rPr>
          <w:rStyle w:val="CharStyle13"/>
          <w:b/>
          <w:bCs/>
        </w:rPr>
        <w:t>Working with the client-side script</w:t>
      </w:r>
      <w:bookmarkEnd w:id="1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You can subscribe to container events: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is-&gt;registerJs(</w:t>
      </w:r>
      <w:r>
        <w:rPr>
          <w:rStyle w:val="CharStyle7"/>
          <w:shd w:val="clear" w:color="auto" w:fill="80FFFF"/>
        </w:rPr>
        <w:t>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$("#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y-block").on("pjax:co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plete", function() </w:t>
      </w:r>
      <w:r>
        <w:rPr>
          <w:rStyle w:val="CharStyle7"/>
          <w:shd w:val="clear" w:color="auto" w:fill="80FFFF"/>
        </w:rPr>
        <w:t>{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24" w:right="1338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8">
    <w:name w:val="Основной текст (2)"/>
    <w:basedOn w:val="CharStyle6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9">
    <w:name w:val="Основной текст (2) + Verdana,7 pt,Интервал 0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10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2">
    <w:name w:val="Основной текст (56)_"/>
    <w:basedOn w:val="DefaultParagraphFont"/>
    <w:link w:val="Style11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3">
    <w:name w:val="Основной текст (56)"/>
    <w:basedOn w:val="CharStyle12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1">
    <w:name w:val="Основной текст (56)"/>
    <w:basedOn w:val="Normal"/>
    <w:link w:val="CharStyle12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