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username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Yii::t('app/user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Username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 '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password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Yii::t('app/user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Password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 '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Yii::t('app/user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Remember 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change the attribute labels of the LoginFor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class ContactFor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extends Model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attributeLabels()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return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name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Yii::t('app/contact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Name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email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Yii::t('app/contact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Email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subject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Yii::t('app/contac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Subject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Yii::t('app/contact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verifyCo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Veri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fi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cation Code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It will output translated labels for the current language instead of originals.</w:t>
      </w:r>
    </w:p>
    <w:p>
      <w:pPr>
        <w:pStyle w:val="Style5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To prepare translations, create the messages directory. Right now, we can create translation files for all needed languages. We can do it manually, but there is a helpful crawler that can scan all project files and extract all messages from Yii ::t() constructions.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use it.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Generate the configuration file for the message scanner: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yii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essage/config-te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 config/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essages.php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>Open the configuration file and set the following values: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sourcePat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'@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tabs>
          <w:tab w:leader="none" w:pos="339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languages'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fr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translator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Yii::t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sort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removeUnuse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markUnuse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'o</w:t>
      </w:r>
      <w:r>
        <w:rPr>
          <w:lang w:val="en-US" w:eastAsia="en-US" w:bidi="en-US"/>
          <w:w w:val="100"/>
          <w:spacing w:val="0"/>
          <w:color w:val="000000"/>
          <w:position w:val="0"/>
        </w:rPr>
        <w:t>nl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y'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*.p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except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'.s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'■</w:t>
      </w:r>
      <w:r>
        <w:rPr>
          <w:lang w:val="en-US" w:eastAsia="en-US" w:bidi="en-US"/>
          <w:w w:val="100"/>
          <w:spacing w:val="0"/>
          <w:color w:val="000000"/>
          <w:position w:val="0"/>
        </w:rPr>
        <w:t>git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'■g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itignor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'.g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itkee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'■h</w:t>
      </w:r>
      <w:r>
        <w:rPr>
          <w:lang w:val="en-US" w:eastAsia="en-US" w:bidi="en-US"/>
          <w:w w:val="100"/>
          <w:spacing w:val="0"/>
          <w:color w:val="000000"/>
          <w:position w:val="0"/>
        </w:rPr>
        <w:t>gignor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gkee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'/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message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'/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vendo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format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messagePat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'@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app/messages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overwrite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true,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ignoreCategories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6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