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Changing the Yii directory layout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By default, we have the Basic and Advanced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application skeletons with different directory structures. But these structures are not dogmatic, and we can customize them if required.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example, we can move the runtime directory out of the project.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9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9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9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 the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5"/>
          <w:b/>
          <w:bCs/>
        </w:rPr>
        <w:t>Changing the location of the runtime directory</w:t>
      </w:r>
      <w:bookmarkEnd w:id="3"/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18"/>
        </w:rPr>
        <w:t xml:space="preserve"> config/web.p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>p and config/console.p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 xml:space="preserve">p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define</w:t>
      </w:r>
      <w:r>
        <w:rPr>
          <w:rStyle w:val="CharStyle1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8"/>
        </w:rPr>
        <w:t xml:space="preserve"> runti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ePat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parameter: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 xml:space="preserve">$config </w:t>
      </w:r>
      <w:r>
        <w:rPr>
          <w:rStyle w:val="CharStyle18"/>
          <w:shd w:val="clear" w:color="auto" w:fill="80FFFF"/>
        </w:rPr>
        <w:t>=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id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basi</w:t>
      </w:r>
      <w:r>
        <w:rPr>
          <w:rStyle w:val="CharStyle18"/>
          <w:shd w:val="clear" w:color="auto" w:fill="80FFFF"/>
        </w:rPr>
        <w:t>c',</w:t>
      </w:r>
    </w:p>
    <w:p>
      <w:pPr>
        <w:pStyle w:val="Style16"/>
        <w:tabs>
          <w:tab w:leader="underscore" w:pos="2952" w:val="left"/>
          <w:tab w:leader="underscore" w:pos="35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basePat</w:t>
      </w:r>
      <w:r>
        <w:rPr>
          <w:rStyle w:val="CharStyle18"/>
          <w:shd w:val="clear" w:color="auto" w:fill="80FFFF"/>
        </w:rPr>
        <w:t>h'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irna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e(</w:t>
        <w:tab/>
        <w:t>DIR</w:t>
        <w:tab/>
      </w:r>
      <w:r>
        <w:rPr>
          <w:rStyle w:val="CharStyle18"/>
          <w:shd w:val="clear" w:color="auto" w:fill="80FFFF"/>
        </w:rPr>
        <w:t>),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bootstrap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['</w:t>
      </w:r>
      <w:r>
        <w:rPr>
          <w:rStyle w:val="CharStyle18"/>
        </w:rPr>
        <w:t>log</w:t>
      </w:r>
      <w:r>
        <w:rPr>
          <w:rStyle w:val="CharStyle18"/>
          <w:shd w:val="clear" w:color="auto" w:fill="80FFFF"/>
        </w:rPr>
        <w:t>'],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runtimePath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'/</w:t>
      </w:r>
      <w:r>
        <w:rPr>
          <w:rStyle w:val="CharStyle18"/>
        </w:rPr>
        <w:t>t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p/runti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e</w:t>
      </w:r>
      <w:r>
        <w:rPr>
          <w:rStyle w:val="CharStyle18"/>
          <w:shd w:val="clear" w:color="auto" w:fill="80FFFF"/>
        </w:rPr>
        <w:t>',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components'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//</w:t>
      </w:r>
      <w:r>
        <w:rPr>
          <w:rStyle w:val="CharStyle18"/>
        </w:rPr>
        <w:t xml:space="preserve"> ...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shd w:val="clear" w:color="auto" w:fill="80FFFF"/>
        </w:rPr>
        <w:t>],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vertAlign w:val="superscript"/>
        </w:rPr>
        <w:t>]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Move the runtime directory to the new location.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4" w:name="bookmark4"/>
      <w:r>
        <w:rPr>
          <w:rStyle w:val="CharStyle15"/>
          <w:b/>
          <w:bCs/>
        </w:rPr>
        <w:t>Changing the location of the vendor directory</w:t>
      </w:r>
      <w:bookmarkEnd w:id="4"/>
    </w:p>
    <w:p>
      <w:pPr>
        <w:pStyle w:val="Style16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Open</w:t>
      </w:r>
      <w:r>
        <w:rPr>
          <w:rStyle w:val="CharStyle18"/>
        </w:rPr>
        <w:t xml:space="preserve"> config/we</w:t>
      </w:r>
      <w:r>
        <w:rPr>
          <w:rStyle w:val="CharStyle18"/>
          <w:shd w:val="clear" w:color="auto" w:fill="80FFFF"/>
        </w:rPr>
        <w:t>b.</w:t>
      </w:r>
      <w:r>
        <w:rPr>
          <w:rStyle w:val="CharStyle18"/>
        </w:rPr>
        <w:t xml:space="preserve"> p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>p and config/consol</w:t>
      </w:r>
      <w:r>
        <w:rPr>
          <w:rStyle w:val="CharStyle18"/>
          <w:shd w:val="clear" w:color="auto" w:fill="80FFFF"/>
        </w:rPr>
        <w:t>e.</w:t>
      </w:r>
      <w:r>
        <w:rPr>
          <w:rStyle w:val="CharStyle18"/>
        </w:rPr>
        <w:t xml:space="preserve"> p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 xml:space="preserve">p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define</w:t>
      </w:r>
      <w:r>
        <w:rPr>
          <w:rStyle w:val="CharStyle1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8"/>
        </w:rPr>
        <w:t xml:space="preserve"> ven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orPat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parameter: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 xml:space="preserve">$config </w:t>
      </w:r>
      <w:r>
        <w:rPr>
          <w:rStyle w:val="CharStyle18"/>
          <w:shd w:val="clear" w:color="auto" w:fill="80FFFF"/>
        </w:rPr>
        <w:t>=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id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'b</w:t>
      </w:r>
      <w:r>
        <w:rPr>
          <w:rStyle w:val="CharStyle18"/>
        </w:rPr>
        <w:t>asi</w:t>
      </w:r>
      <w:r>
        <w:rPr>
          <w:rStyle w:val="CharStyle18"/>
          <w:shd w:val="clear" w:color="auto" w:fill="80FFFF"/>
        </w:rPr>
        <w:t>c',</w:t>
      </w:r>
    </w:p>
    <w:p>
      <w:pPr>
        <w:pStyle w:val="Style16"/>
        <w:tabs>
          <w:tab w:leader="underscore" w:pos="3550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basePath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irna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e(</w:t>
        <w:tab/>
        <w:t>DIR</w:t>
        <w:tab/>
      </w:r>
      <w:r>
        <w:rPr>
          <w:rStyle w:val="CharStyle18"/>
          <w:shd w:val="clear" w:color="auto" w:fill="80FFFF"/>
        </w:rPr>
        <w:t>),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bootstrap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['</w:t>
      </w:r>
      <w:r>
        <w:rPr>
          <w:rStyle w:val="CharStyle18"/>
        </w:rPr>
        <w:t>log</w:t>
      </w:r>
      <w:r>
        <w:rPr>
          <w:rStyle w:val="CharStyle18"/>
          <w:shd w:val="clear" w:color="auto" w:fill="80FFFF"/>
        </w:rPr>
        <w:t>'],</w:t>
      </w:r>
    </w:p>
    <w:p>
      <w:pPr>
        <w:pStyle w:val="Style16"/>
        <w:tabs>
          <w:tab w:leader="underscore" w:pos="3762" w:val="left"/>
          <w:tab w:leader="underscore" w:pos="42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vendorPath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irna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e(</w:t>
        <w:tab/>
        <w:t>DIR</w:t>
        <w:tab/>
      </w:r>
      <w:r>
        <w:rPr>
          <w:rStyle w:val="CharStyle18"/>
          <w:shd w:val="clear" w:color="auto" w:fill="80FFFF"/>
        </w:rPr>
        <w:t>),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'/../</w:t>
      </w:r>
      <w:r>
        <w:rPr>
          <w:rStyle w:val="CharStyle18"/>
        </w:rPr>
        <w:t>vendor,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components'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// ...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shd w:val="clear" w:color="auto" w:fill="80FFFF"/>
        </w:rPr>
        <w:t>],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vertAlign w:val="superscript"/>
        </w:rPr>
        <w:t>]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Move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vendor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with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co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poser.json and co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poser.lock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files to the new location.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Open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web/in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x.</w:t>
      </w:r>
      <w:r>
        <w:rPr>
          <w:rStyle w:val="CharStyle9"/>
        </w:rPr>
        <w:t xml:space="preserve"> php and yii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files and find these rows: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 xml:space="preserve">require( DIR  </w:t>
      </w:r>
      <w:r>
        <w:rPr>
          <w:rStyle w:val="CharStyle18"/>
          <w:shd w:val="clear" w:color="auto" w:fill="80FFFF"/>
        </w:rPr>
        <w:t>.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'/../</w:t>
      </w:r>
      <w:r>
        <w:rPr>
          <w:rStyle w:val="CharStyle18"/>
        </w:rPr>
        <w:t>ven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or/autoloa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.p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>p</w:t>
      </w:r>
      <w:r>
        <w:rPr>
          <w:rStyle w:val="CharStyle18"/>
          <w:shd w:val="clear" w:color="auto" w:fill="80FFFF"/>
        </w:rPr>
        <w:t>');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 xml:space="preserve">require( DIR  </w:t>
      </w:r>
      <w:r>
        <w:rPr>
          <w:rStyle w:val="CharStyle18"/>
          <w:shd w:val="clear" w:color="auto" w:fill="80FFFF"/>
        </w:rPr>
        <w:t>.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'/../</w:t>
      </w:r>
      <w:r>
        <w:rPr>
          <w:rStyle w:val="CharStyle18"/>
        </w:rPr>
        <w:t>ven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or/yiiso</w:t>
      </w:r>
      <w:r>
        <w:rPr>
          <w:rStyle w:val="CharStyle18"/>
          <w:shd w:val="clear" w:color="auto" w:fill="80FFFF"/>
        </w:rPr>
        <w:t>ft</w:t>
      </w:r>
      <w:r>
        <w:rPr>
          <w:rStyle w:val="CharStyle18"/>
        </w:rPr>
        <w:t>/yii2/Yii.p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>p</w:t>
      </w:r>
      <w:r>
        <w:rPr>
          <w:rStyle w:val="CharStyle18"/>
          <w:shd w:val="clear" w:color="auto" w:fill="80FFFF"/>
        </w:rPr>
        <w:t>');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Change the including paths.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5" w:name="bookmark5"/>
      <w:r>
        <w:rPr>
          <w:rStyle w:val="CharStyle15"/>
          <w:b/>
          <w:bCs/>
        </w:rPr>
        <w:t>Changing the location of the controllers</w:t>
      </w:r>
      <w:bookmarkEnd w:id="5"/>
    </w:p>
    <w:sectPr>
      <w:footnotePr>
        <w:pos w:val="pageBottom"/>
        <w:numFmt w:val="decimal"/>
        <w:numRestart w:val="continuous"/>
      </w:footnotePr>
      <w:pgSz w:w="11909" w:h="16834"/>
      <w:pgMar w:top="1430" w:left="1230" w:right="130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56)_"/>
    <w:basedOn w:val="DefaultParagraphFont"/>
    <w:link w:val="Style1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5">
    <w:name w:val="Основной текст (56)"/>
    <w:basedOn w:val="CharStyle1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7">
    <w:name w:val="Основной текст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">
    <w:name w:val="Основной текст (2) + Интервал 1 pt"/>
    <w:basedOn w:val="CharStyle1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5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6">
    <w:name w:val="Основной текст (2)"/>
    <w:basedOn w:val="Normal"/>
    <w:link w:val="CharStyle1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