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31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Index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access control and filters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access control filters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ActiveQuery class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customizing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Customizing the ActiveQuery class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9"/>
        </w:rPr>
        <w:t>How to do it...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it works.,,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 Record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Active Record (AR)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9"/>
        </w:rPr>
        <w:t>Processing model fields with AR event-like methods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advanced application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modifying / </w:t>
      </w:r>
      <w:r>
        <w:rPr>
          <w:rStyle w:val="CharStyle9"/>
        </w:rPr>
        <w:t>Changing an advanced application template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advanced project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installing / </w:t>
      </w:r>
      <w:r>
        <w:rPr>
          <w:rStyle w:val="CharStyle9"/>
        </w:rPr>
        <w:t>Installing advanced project template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Advanced template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URL /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AJAX-dependent drop-down list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9"/>
        </w:rPr>
        <w:t>AJAX-dependent drop-down list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to do it.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AJAX validation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9"/>
        </w:rPr>
        <w:t>AJAX 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 do it.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configurations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directory structures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uses. reference /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structures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See also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application templates / </w:t>
      </w:r>
      <w:r>
        <w:rPr>
          <w:rStyle w:val="CharStyle9"/>
        </w:rPr>
        <w:t>Application templates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application webroot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moving / </w:t>
      </w:r>
      <w:r>
        <w:rPr>
          <w:rStyle w:val="CharStyle9"/>
        </w:rPr>
        <w:t>Moving an application webroot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it works.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files. placing / </w:t>
      </w:r>
      <w:r>
        <w:rPr>
          <w:rStyle w:val="CharStyle9"/>
        </w:rPr>
        <w:t>Placing files in the root</w:t>
      </w:r>
      <w:r>
        <w:rPr>
          <w:rStyle w:val="CharStyle9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files, placing in subdirectory / </w:t>
      </w:r>
      <w:r>
        <w:rPr>
          <w:rStyle w:val="CharStyle9"/>
        </w:rPr>
        <w:t>Placing files in a subdirectory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 event-like methods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model fields. processing with / </w:t>
      </w:r>
      <w:r>
        <w:rPr>
          <w:rStyle w:val="CharStyle9"/>
        </w:rPr>
        <w:t>Processing model fields with AR event-like methods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</w:t>
      </w:r>
      <w:r>
        <w:rPr>
          <w:rStyle w:val="CharStyle9"/>
        </w:rPr>
        <w:t xml:space="preserve">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How it works.</w:t>
      </w:r>
    </w:p>
    <w:p>
      <w:pPr>
        <w:pStyle w:val="Style7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assets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combining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9"/>
        </w:rPr>
        <w:t>Combining and minimizing assets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9"/>
        </w:rPr>
        <w:t>How it works.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8)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Основной текст (2)"/>
    <w:basedOn w:val="CharStyle8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8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7">
    <w:name w:val="Основной текст (2)"/>
    <w:basedOn w:val="Normal"/>
    <w:link w:val="CharStyle8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