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compiler.jar file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URL, for downloading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complex forms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multiple models, using for / </w:t>
      </w:r>
      <w:r>
        <w:rPr>
          <w:rStyle w:val="CharStyle5"/>
        </w:rPr>
        <w:t>Complex forms with multiple models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</w:t>
      </w:r>
      <w:r>
        <w:rPr>
          <w:rStyle w:val="CharStyle5"/>
        </w:rPr>
        <w:t xml:space="preserve"> it...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works.,,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components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Overriding existing application components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existing application components, overriding / </w:t>
      </w:r>
      <w:r>
        <w:rPr>
          <w:rStyle w:val="CharStyle5"/>
        </w:rPr>
        <w:t>Overriding existing application components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Composer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library, installing via / </w:t>
      </w:r>
      <w:r>
        <w:rPr>
          <w:rStyle w:val="CharStyle5"/>
        </w:rPr>
        <w:t>Installing a library via Composer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composer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reference / </w:t>
      </w:r>
      <w:r>
        <w:rPr>
          <w:rStyle w:val="CharStyle5"/>
        </w:rPr>
        <w:t>Getting ready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Composer package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the framework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conditional validation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Conditional validation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parts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moving, into separate files / </w:t>
      </w:r>
      <w:r>
        <w:rPr>
          <w:rStyle w:val="CharStyle5"/>
        </w:rPr>
        <w:t>Moving configuration parts into separate files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console components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context information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using / </w:t>
      </w:r>
      <w:r>
        <w:rPr>
          <w:rStyle w:val="CharStyle5"/>
        </w:rPr>
        <w:t>Logging and using the context, information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logging / </w:t>
      </w:r>
      <w:r>
        <w:rPr>
          <w:rStyle w:val="CharStyle5"/>
        </w:rPr>
        <w:t>Logging and using the context information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 context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used, in view / </w:t>
      </w:r>
      <w:r>
        <w:rPr>
          <w:rStyle w:val="CharStyle5"/>
        </w:rPr>
        <w:t>Using the controller context in a view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 filters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5"/>
        </w:rPr>
        <w:t>Using controller filters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reference link /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controllers map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Cron daemon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cron jobs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executing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Implementing and executing cron jobs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implementing / </w:t>
      </w:r>
      <w:r>
        <w:rPr>
          <w:rStyle w:val="CharStyle5"/>
        </w:rPr>
        <w:t>Implementing and executing cron jobs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