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multiple DB connections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defining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Defining and using m</w:t>
      </w:r>
      <w:r>
        <w:rPr>
          <w:rStyle w:val="CharStyle5"/>
          <w:shd w:val="clear" w:color="auto" w:fill="80FFFF"/>
        </w:rPr>
        <w:t>u</w:t>
      </w:r>
      <w:r>
        <w:rPr>
          <w:rStyle w:val="CharStyle5"/>
        </w:rPr>
        <w:t>ltiple DB connections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Defining and using multiple DB connections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multiple files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uploading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multiple layouts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defining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Defining multiple layouts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multiple models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using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for complex forms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Complex forms with multiple models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</w:t>
      </w:r>
      <w:r>
        <w:rPr>
          <w:rStyle w:val="CharStyle5"/>
        </w:rPr>
        <w:t xml:space="preserve"> it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OpenServer application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URL.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for downloading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package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URL.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for installation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packag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URL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pagination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passwords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with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There’s more.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performance profiling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performance tuning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PHP coding standards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PHP framework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stallat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ling the framework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basic project template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installing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a basic project template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advanced project template. installing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advanced project template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PHP include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PHP require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PHP standards recommendations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7">
    <w:name w:val="Основной текст (28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8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