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There</w:t>
      </w:r>
      <w:r>
        <w:rPr>
          <w:rStyle w:val="CharStyle5"/>
          <w:shd w:val="clear" w:color="auto" w:fill="80FFFF"/>
        </w:rPr>
        <w:t>’</w:t>
      </w:r>
      <w:r>
        <w:rPr>
          <w:rStyle w:val="CharStyle5"/>
        </w:rPr>
        <w:t>s more</w:t>
      </w:r>
      <w:r>
        <w:rPr>
          <w:rStyle w:val="CharStyle5"/>
          <w:shd w:val="clear" w:color="auto" w:fill="80FFFF"/>
        </w:rPr>
        <w:t>...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URL rules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configuring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regular expressions, used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regular expressions in URL rules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</w:t>
      </w:r>
      <w:r>
        <w:rPr>
          <w:rStyle w:val="CharStyle5"/>
        </w:rPr>
        <w:t xml:space="preserve"> works</w:t>
      </w:r>
      <w:r>
        <w:rPr>
          <w:rStyle w:val="CharStyle5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Ther</w:t>
      </w:r>
      <w:r>
        <w:rPr>
          <w:rStyle w:val="CharStyle5"/>
          <w:shd w:val="clear" w:color="auto" w:fill="80FFFF"/>
        </w:rPr>
        <w:t>e’</w:t>
      </w:r>
      <w:r>
        <w:rPr>
          <w:rStyle w:val="CharStyle5"/>
        </w:rPr>
        <w:t>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user agent strings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User model, from advanced app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validator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validator processes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controlling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versioning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Versioning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implementing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view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controller context, used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the controller context in a view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reusing, with pa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als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Reusing views with part</w:t>
      </w: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>als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ViewAction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defau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tView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About ViewAction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layout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About ViewAction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vi</w:t>
      </w:r>
      <w:r>
        <w:rPr>
          <w:lang w:val="en-US" w:eastAsia="en-US" w:bidi="en-US"/>
          <w:w w:val="100"/>
          <w:spacing w:val="0"/>
          <w:color w:val="000000"/>
          <w:position w:val="0"/>
        </w:rPr>
        <w:t>ewP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aram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About ViewAction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vi</w:t>
      </w:r>
      <w:r>
        <w:rPr>
          <w:lang w:val="en-US" w:eastAsia="en-US" w:bidi="en-US"/>
          <w:w w:val="100"/>
          <w:spacing w:val="0"/>
          <w:color w:val="000000"/>
          <w:position w:val="0"/>
        </w:rPr>
        <w:t>ewPref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x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About ViewAction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view renderers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views counter panel, creating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web-interface mode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Installing advanced project template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web application components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web session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widget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creating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a widget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4" w:right="138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7">
    <w:name w:val="Основной текст (28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8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