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color w:val="5A6575"/>
          <w:sz w:val="28"/>
          <w:szCs w:val="28"/>
        </w:rPr>
        <w:t xml:space="preserve">법학입문 (한동대 법학부 · 조혜신)</w:t>
      </w:r>
    </w:p>
    <w:p>
      <w:pPr>
        <w:spacing w:after="200"/>
        <w:jc w:val="center"/>
      </w:pPr>
      <w:r>
        <w:rPr>
          <w:b/>
          <w:bCs/>
          <w:color w:val="1F3F8F"/>
          <w:sz w:val="52"/>
          <w:szCs w:val="52"/>
        </w:rPr>
        <w:t xml:space="preserve">서술형 모범답안</w:t>
      </w:r>
    </w:p>
    <w:p>
      <w:pPr>
        <w:spacing w:after="120"/>
        <w:jc w:val="center"/>
      </w:pPr>
      <w:r>
        <w:rPr>
          <w:sz w:val="24"/>
          <w:szCs w:val="24"/>
        </w:rPr>
        <w:t xml:space="preserve">1. 노동계약 규제 입법의 필요성 (계약공정)</w:t>
      </w:r>
    </w:p>
    <w:p>
      <w:pPr>
        <w:spacing w:after="120"/>
        <w:jc w:val="center"/>
      </w:pPr>
      <w:r>
        <w:rPr>
          <w:sz w:val="24"/>
          <w:szCs w:val="24"/>
        </w:rPr>
        <w:t xml:space="preserve">2. 양심적 병역거부: 헌법재판소 구·신 결정 비교</w:t>
      </w:r>
    </w:p>
    <w:p>
      <w:pPr>
        <w:spacing w:after="600"/>
        <w:jc w:val="center"/>
      </w:pPr>
      <w:r>
        <w:rPr>
          <w:sz w:val="24"/>
          <w:szCs w:val="24"/>
        </w:rPr>
        <w:t xml:space="preserve">3. 공법관계와 사법관계</w:t>
      </w:r>
    </w:p>
    <w:p>
      <w:pPr>
        <w:jc w:val="center"/>
      </w:pPr>
      <w:r>
        <w:rPr>
          <w:color w:val="5A6575"/>
          <w:sz w:val="20"/>
          <w:szCs w:val="20"/>
        </w:rPr>
        <w:t xml:space="preserve">각 문항: 답안 개요 → 모범답안(전문) → 압축 답안(시간 부족 시) → 핵심 키워드</w:t>
      </w:r>
    </w:p>
    <w:p>
      <w:pPr>
        <w:pageBreakBefore/>
      </w:pPr>
      <w:r>
        <w:rPr>
          <w:b/>
          <w:bCs/>
          <w:color w:val="1F3F8F"/>
          <w:sz w:val="32"/>
          <w:szCs w:val="32"/>
        </w:rPr>
        <w:t xml:space="preserve">목차</w:t>
      </w:r>
    </w:p>
    <w:p>
      <w:pPr>
        <w:spacing w:after="20" w:before="200"/>
        <w:ind w:left="0"/>
      </w:pPr>
      <w:r>
        <w:rPr>
          <w:b/>
          <w:bCs/>
          <w:color w:val="1F3F8F"/>
          <w:sz w:val="23"/>
          <w:szCs w:val="23"/>
        </w:rPr>
        <w:t xml:space="preserve">답안 작성 전략</w:t>
      </w:r>
    </w:p>
    <w:p>
      <w:pPr>
        <w:spacing w:after="20" w:before="200"/>
        <w:ind w:left="0"/>
      </w:pPr>
      <w:r>
        <w:rPr>
          <w:b/>
          <w:bCs/>
          <w:color w:val="1F3F8F"/>
          <w:sz w:val="23"/>
          <w:szCs w:val="23"/>
        </w:rPr>
        <w:t xml:space="preserve">문제 1. 노동계약 규제 입법의 필요성</w:t>
      </w:r>
    </w:p>
    <w:p>
      <w:pPr>
        <w:spacing w:after="20" w:before="200"/>
        <w:ind w:left="0"/>
      </w:pPr>
      <w:r>
        <w:rPr>
          <w:b/>
          <w:bCs/>
          <w:color w:val="1F3F8F"/>
          <w:sz w:val="23"/>
          <w:szCs w:val="23"/>
        </w:rPr>
        <w:t xml:space="preserve">문제 2. 양심적 병역거부: 헌법재판소 구·신 결정 비교</w:t>
      </w:r>
    </w:p>
    <w:p>
      <w:pPr>
        <w:spacing w:after="20" w:before="200"/>
        <w:ind w:left="0"/>
      </w:pPr>
      <w:r>
        <w:rPr>
          <w:b/>
          <w:bCs/>
          <w:color w:val="1F3F8F"/>
          <w:sz w:val="23"/>
          <w:szCs w:val="23"/>
        </w:rPr>
        <w:t xml:space="preserve">문제 3. 공법관계와 사법관계</w:t>
      </w:r>
    </w:p>
    <w:p>
      <w:pPr>
        <w:pStyle w:val="Heading1"/>
        <w:pageBreakBefore/>
      </w:pPr>
      <w:r>
        <w:t xml:space="preserve">답안 작성 전략</w:t>
      </w:r>
    </w:p>
    <w:p>
      <w:pPr>
        <w:pStyle w:val="ListParagraph"/>
        <w:numPr>
          <w:ilvl w:val="0"/>
          <w:numId w:val="2"/>
        </w:numPr>
        <w:spacing w:after="40"/>
      </w:pPr>
      <w:r>
        <w:rPr>
          <w:b/>
          <w:bCs/>
        </w:rPr>
        <w:t xml:space="preserve">공통 구조</w:t>
      </w:r>
      <w:r>
        <w:t xml:space="preserve">: 서론(문제의 소재) → 본론(개념과 전제 → 분석 → 구체적 예·비교) → 결론(평가). 서술형은 결론보다 </w:t>
      </w:r>
      <w:r>
        <w:rPr>
          <w:b/>
          <w:bCs/>
        </w:rPr>
        <w:t xml:space="preserve">논증의 단계</w:t>
      </w:r>
      <w:r>
        <w:t xml:space="preserve">에서 점수가 갈린다.</w:t>
      </w:r>
    </w:p>
    <w:p>
      <w:pPr>
        <w:pStyle w:val="ListParagraph"/>
        <w:numPr>
          <w:ilvl w:val="0"/>
          <w:numId w:val="2"/>
        </w:numPr>
        <w:spacing w:after="40"/>
      </w:pPr>
      <w:r>
        <w:rPr>
          <w:b/>
          <w:bCs/>
        </w:rPr>
        <w:t xml:space="preserve">수업 자료를 근거로 쓰기</w:t>
      </w:r>
      <w:r>
        <w:t xml:space="preserve">: 권오승(계약자유와 힘의 균형), 폴라니(노동은 허구 상품), 김유성(노동계약의 종속성), 사회국가원리, 공익·사익 형량, 공법과 사법 슬라이드의 문장을 논거로 연결하면 "수업을 이해한 답안"이 된다.</w:t>
      </w:r>
    </w:p>
    <w:p>
      <w:pPr>
        <w:pStyle w:val="ListParagraph"/>
        <w:numPr>
          <w:ilvl w:val="0"/>
          <w:numId w:val="2"/>
        </w:numPr>
        <w:spacing w:after="40"/>
      </w:pPr>
      <w:r>
        <w:rPr>
          <w:b/>
          <w:bCs/>
        </w:rPr>
        <w:t xml:space="preserve">외워 둘 판례 번호</w:t>
      </w:r>
      <w:r>
        <w:t xml:space="preserve">: 헌재 2004. 8. 26. 2002헌가1 / 헌재 2011. 8. 30. 2008헌가22 등 / 헌재 2018. 6. 28. 2011헌바379 등 / 대법원 2018. 11. 1. 2016도10912 전원합의체 / (비교) 간통죄 헌재 2015. 2. 26. 2009헌바17.</w:t>
      </w:r>
    </w:p>
    <w:p>
      <w:pPr>
        <w:pBdr>
          <w:left w:val="single" w:color="C0362C" w:sz="18" w:space="8"/>
        </w:pBdr>
        <w:shd w:fill="FBE9E7" w:color="auto" w:val="clear"/>
        <w:spacing w:after="0" w:before="120"/>
        <w:ind w:left="160" w:right="160"/>
      </w:pPr>
      <w:r>
        <w:rPr>
          <w:b/>
          <w:bCs/>
          <w:color w:val="C0362C"/>
        </w:rPr>
        <w:t xml:space="preserve">※ 문제 2의 조문 표기</w:t>
      </w:r>
    </w:p>
    <w:p>
      <w:pPr>
        <w:pBdr>
          <w:left w:val="single" w:color="C0362C" w:sz="18" w:space="8"/>
        </w:pBdr>
        <w:shd w:fill="FBE9E7" w:color="auto" w:val="clear"/>
        <w:spacing w:after="160"/>
        <w:ind w:left="160" w:right="160"/>
      </w:pPr>
      <w:r>
        <w:t xml:space="preserve">문제에는 "헌법 제37조 </w:t>
      </w:r>
      <w:r>
        <w:rPr>
          <w:b/>
          <w:bCs/>
        </w:rPr>
        <w:t xml:space="preserve">제1항</w:t>
      </w:r>
      <w:r>
        <w:t xml:space="preserve"> 과잉금지의 원칙"으로 되어 있으나, 과잉금지원칙의 근거는 </w:t>
      </w:r>
      <w:r>
        <w:rPr>
          <w:b/>
          <w:bCs/>
        </w:rPr>
        <w:t xml:space="preserve">헌법 제37조 제2항</w:t>
      </w:r>
      <w:r>
        <w:t xml:space="preserve">("국민의 모든 자유와 권리는 … 필요한 경우에 한하여 법률로써 제한할 수 있으며 … 본질적인 내용을 침해할 수 없다")이다. 제1항은 "헌법에 열거되지 아니한 자유와 권리"의 보장 조항이다. 답안에는 제37조 제2항으로 쓰는 것이 정확하다.</w:t>
      </w:r>
    </w:p>
    <w:p>
      <w:pPr>
        <w:pStyle w:val="ListParagraph"/>
        <w:numPr>
          <w:ilvl w:val="0"/>
          <w:numId w:val="2"/>
        </w:numPr>
        <w:spacing w:after="40"/>
      </w:pPr>
      <w:r>
        <w:rPr>
          <w:b/>
          <w:bCs/>
        </w:rPr>
        <w:t xml:space="preserve">문항 간 연결</w:t>
      </w:r>
      <w:r>
        <w:t xml:space="preserve">: 문제 1의 노동법은 문제 3에서 말하는 "사법의 공법화(사회화)"의 대표 예이고, 문제 2의 과잉금지 심사는 문제 3의 "공익과 사익의 형량"의 구체적 적용이다. 한 문항에서 다른 문항의 개념을 한 줄씩 끌어오면 답안의 깊이가 달라진다.</w:t>
      </w:r>
    </w:p>
    <w:p>
      <w:pPr>
        <w:pStyle w:val="Heading1"/>
        <w:pageBreakBefore/>
      </w:pPr>
      <w:r>
        <w:t xml:space="preserve">문제 1. 노동계약 규제 입법의 필요성</w:t>
      </w:r>
    </w:p>
    <w:p>
      <w:pPr>
        <w:pBdr>
          <w:left w:val="single" w:color="5A6575" w:sz="18" w:space="8"/>
        </w:pBdr>
        <w:shd w:fill="F3F5F8" w:color="auto" w:val="clear"/>
        <w:spacing w:after="0" w:before="120"/>
        <w:ind w:left="160" w:right="160"/>
      </w:pPr>
      <w:r>
        <w:rPr>
          <w:b/>
          <w:bCs/>
          <w:color w:val="5A6575"/>
        </w:rPr>
        <w:t xml:space="preserve">문제</w:t>
      </w:r>
    </w:p>
    <w:p>
      <w:pPr>
        <w:pBdr>
          <w:left w:val="single" w:color="5A6575" w:sz="18" w:space="8"/>
        </w:pBdr>
        <w:shd w:fill="F3F5F8" w:color="auto" w:val="clear"/>
        <w:spacing w:after="160"/>
        <w:ind w:left="160" w:right="160"/>
      </w:pPr>
      <w:r>
        <w:t xml:space="preserve">사적자치와 계약자유의 원칙에도 불구하고, 계약공정의 관점에서 사인 간 노동(근로)계약을 규제하기 위한 입법이 필요한 이유를 구체적인 예를 들어 설명하시오. (노동계약 분쟁해결 및 입법 활동에서 다루었던 쟁점들 참고)</w:t>
      </w:r>
    </w:p>
    <w:p>
      <w:pPr>
        <w:pStyle w:val="Heading2"/>
      </w:pPr>
      <w:r>
        <w:t xml:space="preserve">답안 개요</w:t>
      </w:r>
    </w:p>
    <w:p>
      <w:pPr>
        <w:pStyle w:val="ListParagraph"/>
        <w:numPr>
          <w:ilvl w:val="0"/>
          <w:numId w:val="3"/>
        </w:numPr>
        <w:spacing w:after="40"/>
      </w:pPr>
      <w:r>
        <w:rPr>
          <w:b/>
          <w:bCs/>
        </w:rPr>
        <w:t xml:space="preserve">서론</w:t>
      </w:r>
      <w:r>
        <w:t xml:space="preserve">: 사적자치·계약자유의 의의 → 그런데 왜 노동계약만은 합의 내용까지 국가가 통제하는가?</w:t>
      </w:r>
    </w:p>
    <w:p>
      <w:pPr>
        <w:pStyle w:val="ListParagraph"/>
        <w:numPr>
          <w:ilvl w:val="0"/>
          <w:numId w:val="3"/>
        </w:numPr>
        <w:spacing w:after="40"/>
      </w:pPr>
      <w:r>
        <w:rPr>
          <w:b/>
          <w:bCs/>
        </w:rPr>
        <w:t xml:space="preserve">계약자유의 정당성과 전제</w:t>
      </w:r>
      <w:r>
        <w:t xml:space="preserve">: 주관적 정당성 vs 객관적 정당성, 전제는 "힘의 균형"(인식가능성 + 실현가능성) → 무너지면 계약공정의 원리</w:t>
      </w:r>
    </w:p>
    <w:p>
      <w:pPr>
        <w:pStyle w:val="ListParagraph"/>
        <w:numPr>
          <w:ilvl w:val="0"/>
          <w:numId w:val="3"/>
        </w:numPr>
        <w:spacing w:after="40"/>
      </w:pPr>
      <w:r>
        <w:rPr>
          <w:b/>
          <w:bCs/>
        </w:rPr>
        <w:t xml:space="preserve">노동계약에서 전제가 무너지는 이유</w:t>
      </w:r>
      <w:r>
        <w:t xml:space="preserve">: ① 허구 상품(폴라니) ② 거절할 수 없는 판매자(경제적 종속) ③ 계속되는 인적 종속 ④ 민법(임의규정, 제660조, 제103·104조)의 한계</w:t>
      </w:r>
    </w:p>
    <w:p>
      <w:pPr>
        <w:pStyle w:val="ListParagraph"/>
        <w:numPr>
          <w:ilvl w:val="0"/>
          <w:numId w:val="3"/>
        </w:numPr>
        <w:spacing w:after="40"/>
      </w:pPr>
      <w:r>
        <w:rPr>
          <w:b/>
          <w:bCs/>
        </w:rPr>
        <w:t xml:space="preserve">입법의 근거와 방식</w:t>
      </w:r>
      <w:r>
        <w:t xml:space="preserve">: 헌법 제32조 제3항·제33조·제34조, 근로기준법 제3·4·15조(최저기준, 부분 무효와 보충)</w:t>
      </w:r>
    </w:p>
    <w:p>
      <w:pPr>
        <w:pStyle w:val="ListParagraph"/>
        <w:numPr>
          <w:ilvl w:val="0"/>
          <w:numId w:val="3"/>
        </w:numPr>
        <w:spacing w:after="40"/>
      </w:pPr>
      <w:r>
        <w:rPr>
          <w:b/>
          <w:bCs/>
        </w:rPr>
        <w:t xml:space="preserve">구체적 예</w:t>
      </w:r>
      <w:r>
        <w:t xml:space="preserve">: 최저임금 미달 합의 / 장시간 노동과 주 52시간제 / 해고 분쟁과 분쟁해결 연속선 / 5인 미만 사업장·중대재해처벌법</w:t>
      </w:r>
    </w:p>
    <w:p>
      <w:pPr>
        <w:pStyle w:val="ListParagraph"/>
        <w:numPr>
          <w:ilvl w:val="0"/>
          <w:numId w:val="3"/>
        </w:numPr>
        <w:spacing w:after="40"/>
      </w:pPr>
      <w:r>
        <w:rPr>
          <w:b/>
          <w:bCs/>
        </w:rPr>
        <w:t xml:space="preserve">규제의 한계</w:t>
      </w:r>
      <w:r>
        <w:t xml:space="preserve">: 최저기준 + 집단적 자치 = 계약자유의 부정이 아니라 회복</w:t>
      </w:r>
    </w:p>
    <w:p>
      <w:pPr>
        <w:pStyle w:val="ListParagraph"/>
        <w:numPr>
          <w:ilvl w:val="0"/>
          <w:numId w:val="3"/>
        </w:numPr>
        <w:spacing w:after="40"/>
      </w:pPr>
      <w:r>
        <w:rPr>
          <w:b/>
          <w:bCs/>
        </w:rPr>
        <w:t xml:space="preserve">결론</w:t>
      </w:r>
      <w:r>
        <w:t xml:space="preserve">: 노동은 상품이 아니다, 계약공정은 인간 존엄의 문제</w:t>
      </w:r>
    </w:p>
    <w:p>
      <w:pPr>
        <w:pStyle w:val="Heading2"/>
      </w:pPr>
      <w:r>
        <w:t xml:space="preserve">모범답안</w:t>
      </w:r>
    </w:p>
    <w:p>
      <w:pPr>
        <w:pStyle w:val="Heading3"/>
      </w:pPr>
      <w:r>
        <w:t xml:space="preserve">Ⅰ. 서론: 계약자유의 약속과 노동계약의 역설</w:t>
      </w:r>
    </w:p>
    <w:p>
      <w:pPr>
        <w:spacing w:after="120" w:line="340"/>
        <w:ind w:firstLine="220"/>
        <w:jc w:val="both"/>
      </w:pPr>
      <w:r>
        <w:t xml:space="preserve">근대 사법(私法)은 봉건적 신분 질서에서 해방된 </w:t>
      </w:r>
      <w:r>
        <w:rPr>
          <w:b/>
          <w:bCs/>
        </w:rPr>
        <w:t xml:space="preserve">개인</w:t>
      </w:r>
      <w:r>
        <w:t xml:space="preserve">을 유일한 현실적 기본 단위로 삼아 법질서를 다시 짰다. 그 중심에 있는 </w:t>
      </w:r>
      <w:r>
        <w:rPr>
          <w:b/>
          <w:bCs/>
        </w:rPr>
        <w:t xml:space="preserve">사적자치의 원칙</w:t>
      </w:r>
      <w:r>
        <w:t xml:space="preserve">은 "자기의 일을 자기결정에 따라 자기책임으로 자기지배한다"는 것이며, 여기에서 </w:t>
      </w:r>
      <w:r>
        <w:rPr>
          <w:b/>
          <w:bCs/>
        </w:rPr>
        <w:t xml:space="preserve">소유권 존중·계약자유·과실책임</w:t>
      </w:r>
      <w:r>
        <w:t xml:space="preserve">이라는 근대 민법의 3대 원칙이 나온다. 헌법재판소도 계약자유를 헌법상 행복추구권에 함축된 일반적 행동자유권에서 파생되는 것으로 본다. 이 원칙대로라면 노동관계 역시 노무 제공과 보수 지급을 맞바꾸는 유상·쌍무의 채권계약, 곧 민법 제655조의 고용계약에 지나지 않으며, 근로조건은 당사자의 합의에 맡겨져야 한다.</w:t>
      </w:r>
    </w:p>
    <w:p>
      <w:pPr>
        <w:spacing w:after="120" w:line="340"/>
        <w:ind w:firstLine="220"/>
        <w:jc w:val="both"/>
      </w:pPr>
      <w:r>
        <w:t xml:space="preserve">그런데 현행 법질서는 근로기준법·최저임금법·중대재해처벌법 등으로 노동계약의 내용에 깊숙이 개입하고, 당사자가 합의한 근로조건이라도 법정 기준에 못 미치면 무효로 만든다. 사적자치를 기본원리로 삼는 법질서가 왜 유독 노동계약에서는 당사자의 합의를 넘어 계약 내용을 직접 통제하는가. 이 물음의 답은 </w:t>
      </w:r>
      <w:r>
        <w:rPr>
          <w:b/>
          <w:bCs/>
        </w:rPr>
        <w:t xml:space="preserve">계약자유가 정당성을 갖기 위한 전제가 무엇인지</w:t>
      </w:r>
      <w:r>
        <w:t xml:space="preserve">, 그리고 </w:t>
      </w:r>
      <w:r>
        <w:rPr>
          <w:b/>
          <w:bCs/>
        </w:rPr>
        <w:t xml:space="preserve">노동계약에서 그 전제가 어떻게 무너지는지</w:t>
      </w:r>
      <w:r>
        <w:t xml:space="preserve">를 살펴볼 때 드러난다.</w:t>
      </w:r>
    </w:p>
    <w:p>
      <w:pPr>
        <w:pStyle w:val="Heading3"/>
      </w:pPr>
      <w:r>
        <w:t xml:space="preserve">Ⅱ. 계약자유의 정당성과 그 전제: 힘의 균형</w:t>
      </w:r>
    </w:p>
    <w:p>
      <w:pPr>
        <w:spacing w:after="60" w:before="140"/>
      </w:pPr>
      <w:r>
        <w:rPr>
          <w:b/>
          <w:bCs/>
          <w:color w:val="18202B"/>
        </w:rPr>
        <w:t xml:space="preserve">1. 계약자유가 정당한 이유</w:t>
      </w:r>
    </w:p>
    <w:p>
      <w:pPr>
        <w:spacing w:after="120" w:line="340"/>
        <w:ind w:firstLine="220"/>
        <w:jc w:val="both"/>
      </w:pPr>
      <w:r>
        <w:t xml:space="preserve">계약자유의 사상은 모든 개인이 합리적 판단 능력과 윤리적 자율성을 갖춘 이성적 존재라는 근대적 인간관에 기초한다. 각 당사자는 자기 이익을 추구하지만, 계약은 상대방의 동의 없이는 성립하지 않으므로 그 이기심은 합의 과정에서 서로 조정된다. 그래서 자유로운 합의의 결과는 당사자 사이의 </w:t>
      </w:r>
      <w:r>
        <w:rPr>
          <w:b/>
          <w:bCs/>
        </w:rPr>
        <w:t xml:space="preserve">조정적 정의</w:t>
      </w:r>
      <w:r>
        <w:t xml:space="preserve">를 실현한 것으로 받아들여지고, 국가는 그 내용이 제3자(특히 법관)의 눈에 다소 불공평해 보이더라도 그대로 승인해야 한다.</w:t>
      </w:r>
    </w:p>
    <w:p>
      <w:pPr>
        <w:spacing w:after="60" w:before="140"/>
      </w:pPr>
      <w:r>
        <w:rPr>
          <w:b/>
          <w:bCs/>
          <w:color w:val="18202B"/>
        </w:rPr>
        <w:t xml:space="preserve">2. 주관적 정당성과 객관적 정당성</w:t>
      </w:r>
    </w:p>
    <w:p>
      <w:pPr>
        <w:spacing w:after="120" w:line="340"/>
        <w:ind w:firstLine="220"/>
        <w:jc w:val="both"/>
      </w:pPr>
      <w:r>
        <w:t xml:space="preserve">그러나 이렇게 승인되는 정당성은 당사자가 스스로 원했다는 데서 나오는 </w:t>
      </w:r>
      <w:r>
        <w:rPr>
          <w:b/>
          <w:bCs/>
        </w:rPr>
        <w:t xml:space="preserve">주관적 정당성</w:t>
      </w:r>
      <w:r>
        <w:t xml:space="preserve">일 뿐, 계약 내용 자체가 공정하다는 </w:t>
      </w:r>
      <w:r>
        <w:rPr>
          <w:b/>
          <w:bCs/>
        </w:rPr>
        <w:t xml:space="preserve">객관적 정당성</w:t>
      </w:r>
      <w:r>
        <w:t xml:space="preserve">이 아니다. 국가가 주관적 정당성만으로 계약을 승인할 수 있는 것은 당사자의 </w:t>
      </w:r>
      <w:r>
        <w:rPr>
          <w:b/>
          <w:bCs/>
        </w:rPr>
        <w:t xml:space="preserve">자기결정이 실질적으로 보장된다는 전제</w:t>
      </w:r>
      <w:r>
        <w:t xml:space="preserve">가 있을 때뿐이다. 자기결정이 실질적이려면 각 당사자가 계약 내용을 정확히 </w:t>
      </w:r>
      <w:r>
        <w:rPr>
          <w:b/>
          <w:bCs/>
        </w:rPr>
        <w:t xml:space="preserve">인식</w:t>
      </w:r>
      <w:r>
        <w:t xml:space="preserve">할 수 있어야 하고(정신적·심리적 대등성, 즉 인식가능성), 자신에게 불리한 계약을 </w:t>
      </w:r>
      <w:r>
        <w:rPr>
          <w:b/>
          <w:bCs/>
        </w:rPr>
        <w:t xml:space="preserve">거절</w:t>
      </w:r>
      <w:r>
        <w:t xml:space="preserve">할 수 있어야 한다(경제적 대등성, 즉 실현가능성). 이를 위해서는 당사자 사이에 일정한 </w:t>
      </w:r>
      <w:r>
        <w:rPr>
          <w:b/>
          <w:bCs/>
        </w:rPr>
        <w:t xml:space="preserve">힘의 균형</w:t>
      </w:r>
      <w:r>
        <w:t xml:space="preserve">이 있고, 시장에서 자유롭고 공정한 경쟁이 이루어져야 한다.</w:t>
      </w:r>
    </w:p>
    <w:p>
      <w:pPr>
        <w:spacing w:after="60" w:before="140"/>
      </w:pPr>
      <w:r>
        <w:rPr>
          <w:b/>
          <w:bCs/>
          <w:color w:val="18202B"/>
        </w:rPr>
        <w:t xml:space="preserve">3. 전제가 무너질 때: 계약공정의 원리</w:t>
      </w:r>
    </w:p>
    <w:p>
      <w:pPr>
        <w:spacing w:after="120" w:line="340"/>
        <w:ind w:firstLine="220"/>
        <w:jc w:val="both"/>
      </w:pPr>
      <w:r>
        <w:t xml:space="preserve">이 전제가 무너진 곳에서 계약자유를 고집하면, 계약자유는 </w:t>
      </w:r>
      <w:r>
        <w:rPr>
          <w:b/>
          <w:bCs/>
        </w:rPr>
        <w:t xml:space="preserve">강자가 경제적 약자를 지배하는 수단</w:t>
      </w:r>
      <w:r>
        <w:t xml:space="preserve">으로 전락한다. 형식은 '합의'이지만 실질은 한쪽 당사자의 일방적 결정이 계약의 이름으로 정당화되기 때문이다. 그러므로 자기결정이 보장되지 않는 경우에는 국가가 공평한 제3자의 관점, 즉 객관적 정당성의 기준으로 계약 내용을 통제해야 한다. 이것이 </w:t>
      </w:r>
      <w:r>
        <w:rPr>
          <w:b/>
          <w:bCs/>
        </w:rPr>
        <w:t xml:space="preserve">계약공정의 원리</w:t>
      </w:r>
      <w:r>
        <w:t xml:space="preserve">이며, 근대 사법이 </w:t>
      </w:r>
      <w:r>
        <w:rPr>
          <w:b/>
          <w:bCs/>
        </w:rPr>
        <w:t xml:space="preserve">사회적 조화의 원칙</w:t>
      </w:r>
      <w:r>
        <w:t xml:space="preserve">에 따라 수정된 모습이다. 구체적인 인간은 근대법이 상정한 것처럼 자유롭고 평등하며 독립적인 존재가 아니라, 사용자와 근로자, 임대인과 임차인, 제조자와 소비자처럼 경제적·사회적으로 불평등한 관계 속에 놓여 있다. 약관규제법, 주택임대차보호법, 소비자 관련 법률과 함께 근로기준법이 계약공정을 실현하는 대표적 입법으로 꼽히는 이유가 여기에 있다.</w:t>
      </w:r>
    </w:p>
    <w:p>
      <w:pPr>
        <w:pStyle w:val="Heading3"/>
      </w:pPr>
      <w:r>
        <w:t xml:space="preserve">Ⅲ. 노동계약에서 계약자유의 전제가 무너지는 이유</w:t>
      </w:r>
    </w:p>
    <w:p>
      <w:pPr>
        <w:spacing w:after="60" w:before="140"/>
      </w:pPr>
      <w:r>
        <w:rPr>
          <w:b/>
          <w:bCs/>
          <w:color w:val="18202B"/>
        </w:rPr>
        <w:t xml:space="preserve">1. 노동력이라는 '허구 상품'</w:t>
      </w:r>
    </w:p>
    <w:p>
      <w:pPr>
        <w:spacing w:after="120" w:line="340"/>
        <w:ind w:firstLine="220"/>
        <w:jc w:val="both"/>
      </w:pPr>
      <w:r>
        <w:t xml:space="preserve">시민법상 계약의 원형은 상품의 등가교환, 곧 매매다. 그러나 노동력은 그것을 지닌 사람의 몸과 분리될 수 없다. </w:t>
      </w:r>
      <w:r>
        <w:rPr>
          <w:b/>
          <w:bCs/>
        </w:rPr>
        <w:t xml:space="preserve">칼 폴라니</w:t>
      </w:r>
      <w:r>
        <w:t xml:space="preserve">가 지적했듯 노동은 "인간 활동의 다른 이름"일 뿐 판매를 위해 생산된 것이 아니며, 사람과 떼어 내 비축하거나 동원할 수 없다. 노동력을 다른 상품처럼 소유자의 처분에 맡기면, 결국 노동력이라는 꼬리표를 단 '사람'의 육체적·심리적·도덕적 실체까지 처분하게 된다. 노동계약에서 거래되는 상품의 사용가치는 </w:t>
      </w:r>
      <w:r>
        <w:rPr>
          <w:b/>
          <w:bCs/>
        </w:rPr>
        <w:t xml:space="preserve">살아 있는 인간의 노동</w:t>
      </w:r>
      <w:r>
        <w:t xml:space="preserve">이다. 그래서 근로시간·안전·휴식·임금은 단순한 거래 조건이 아니라 생명과 건강, 인격이 걸린 조건이며, 이를 오로지 당사자의 흥정에 맡겨 둘 수 없다.</w:t>
      </w:r>
    </w:p>
    <w:p>
      <w:pPr>
        <w:spacing w:after="60" w:before="140"/>
      </w:pPr>
      <w:r>
        <w:rPr>
          <w:b/>
          <w:bCs/>
          <w:color w:val="18202B"/>
        </w:rPr>
        <w:t xml:space="preserve">2. 거절할 수 없는 판매자: 경제적 종속</w:t>
      </w:r>
    </w:p>
    <w:p>
      <w:pPr>
        <w:spacing w:after="120" w:line="340"/>
        <w:ind w:firstLine="220"/>
        <w:jc w:val="both"/>
      </w:pPr>
      <w:r>
        <w:t xml:space="preserve">인클로저 운동 이래 생산수단에서 분리된 노동자는 노동력을 팔지 않고는 생존할 수 없다. 게다가 노동력은 저장할 수 없어서 오늘 팔지 못한 노동은 그대로 사라진다. 노동자는 </w:t>
      </w:r>
      <w:r>
        <w:rPr>
          <w:b/>
          <w:bCs/>
        </w:rPr>
        <w:t xml:space="preserve">기다릴 수 없는 판매자</w:t>
      </w:r>
      <w:r>
        <w:t xml:space="preserve">인 반면, 사용자는 다른 노동자를 고를 수 있다. 결국 근로조건은 사실상 사용자가 정하고 노동자는 수락 여부만 고르는 구조가 되며, 계약자유의 핵심인 </w:t>
      </w:r>
      <w:r>
        <w:rPr>
          <w:b/>
          <w:bCs/>
        </w:rPr>
        <w:t xml:space="preserve">불리한 계약을 거절할 자유</w:t>
      </w:r>
      <w:r>
        <w:t xml:space="preserve">가 노동자에게는 형식으로만 존재한다. 임금이 투입된 노동의 양이 아니라 노자 간 </w:t>
      </w:r>
      <w:r>
        <w:rPr>
          <w:b/>
          <w:bCs/>
        </w:rPr>
        <w:t xml:space="preserve">사회적 관계, 곧 힘의 차이</w:t>
      </w:r>
      <w:r>
        <w:t xml:space="preserve">로 결정되고, 그 결과가 공정한 수준이라는 보장이 없는 이유가 여기에 있다.</w:t>
      </w:r>
    </w:p>
    <w:p>
      <w:pPr>
        <w:spacing w:after="60" w:before="140"/>
      </w:pPr>
      <w:r>
        <w:rPr>
          <w:b/>
          <w:bCs/>
          <w:color w:val="18202B"/>
        </w:rPr>
        <w:t xml:space="preserve">3. 계약 이후에도 계속되는 인적 종속</w:t>
      </w:r>
    </w:p>
    <w:p>
      <w:pPr>
        <w:spacing w:after="120" w:line="340"/>
        <w:ind w:firstLine="220"/>
        <w:jc w:val="both"/>
      </w:pPr>
      <w:r>
        <w:t xml:space="preserve">노동계약은 노동자가 자기 노동력의 처분권을 상대방에게 </w:t>
      </w:r>
      <w:r>
        <w:rPr>
          <w:b/>
          <w:bCs/>
        </w:rPr>
        <w:t xml:space="preserve">계속적으로</w:t>
      </w:r>
      <w:r>
        <w:t xml:space="preserve"> 맡기고, 그 </w:t>
      </w:r>
      <w:r>
        <w:rPr>
          <w:b/>
          <w:bCs/>
        </w:rPr>
        <w:t xml:space="preserve">지휘·명령 아래 종속적 노동</w:t>
      </w:r>
      <w:r>
        <w:t xml:space="preserve">에 종사하는 계약이다. 매매처럼 이행과 동시에 관계가 끝나지 않고, 계약을 체결한 뒤에도 노동자는 사용자의 지휘권 아래에서 일상을 보낸다. 따라서 힘의 불균형은 계약 체결 순간뿐 아니라 이행의 전 과정에 작용하고, 직장 내 괴롭힘처럼 계약서로는 포착할 수 없는 인격적 침해가 생길 수 있다. 또한 관계가 계속되는 동안 노동자는 해고를 걱정해 계약상 권리조차 주장하기 어렵다.</w:t>
      </w:r>
    </w:p>
    <w:p>
      <w:pPr>
        <w:spacing w:after="60" w:before="140"/>
      </w:pPr>
      <w:r>
        <w:rPr>
          <w:b/>
          <w:bCs/>
          <w:color w:val="18202B"/>
        </w:rPr>
        <w:t xml:space="preserve">4. 민법의 한계</w:t>
      </w:r>
    </w:p>
    <w:p>
      <w:pPr>
        <w:spacing w:after="120" w:line="340"/>
        <w:ind w:firstLine="220"/>
        <w:jc w:val="both"/>
      </w:pPr>
      <w:r>
        <w:t xml:space="preserve">민법의 고용 규정(제655조~제663조)은 대부분 </w:t>
      </w:r>
      <w:r>
        <w:rPr>
          <w:b/>
          <w:bCs/>
        </w:rPr>
        <w:t xml:space="preserve">임의규정</w:t>
      </w:r>
      <w:r>
        <w:t xml:space="preserve">이어서 근로조건의 최저선을 정하지 않는다. 오히려 </w:t>
      </w:r>
      <w:r>
        <w:rPr>
          <w:b/>
          <w:bCs/>
        </w:rPr>
        <w:t xml:space="preserve">제660조</w:t>
      </w:r>
      <w:r>
        <w:t xml:space="preserve">는 기간의 약정이 없는 고용을 각 당사자가 언제든지 해지 통고할 수 있게 하여 사용자에게 사실상의 해고 자유를 준다. 사적자치의 내재적 한계로 반사회질서 법률행위(제103조), 불공정한 법률행위(제104조), 신의성실의 원칙이 있지만, 노동자 보호 수단으로는 부족하다. 첫째, 제104조는 궁박·경솔·무경험과 현저한 불공정에 더해 판례상 상대방의 이용 의사까지 요구하므로 요건이 엄격하다. 둘째, 개별 소송을 통한 </w:t>
      </w:r>
      <w:r>
        <w:rPr>
          <w:b/>
          <w:bCs/>
        </w:rPr>
        <w:t xml:space="preserve">사후적</w:t>
      </w:r>
      <w:r>
        <w:t xml:space="preserve"> 구제에 의존하는데, 고용관계가 계속되는 동안 노동자가 사용자를 상대로 소를 제기하기는 어렵다. 셋째, 효과가 법률행위의 </w:t>
      </w:r>
      <w:r>
        <w:rPr>
          <w:b/>
          <w:bCs/>
        </w:rPr>
        <w:t xml:space="preserve">무효</w:t>
      </w:r>
      <w:r>
        <w:t xml:space="preserve">여서, 근로계약 자체가 무효가 되면 노동자는 보호받기는커녕 일자리를 잃는 역설이 생긴다. 이 때문에 노동관계에는 시민법 원리와 구별되는 독자적 법원리, 곧 국가가 계약 내용을 </w:t>
      </w:r>
      <w:r>
        <w:rPr>
          <w:b/>
          <w:bCs/>
        </w:rPr>
        <w:t xml:space="preserve">사전적·일률적으로</w:t>
      </w:r>
      <w:r>
        <w:t xml:space="preserve"> 규율하는 </w:t>
      </w:r>
      <w:r>
        <w:rPr>
          <w:b/>
          <w:bCs/>
        </w:rPr>
        <w:t xml:space="preserve">사회법으로서의 노동법</w:t>
      </w:r>
      <w:r>
        <w:t xml:space="preserve">이 필요하다.</w:t>
      </w:r>
    </w:p>
    <w:p>
      <w:pPr>
        <w:pStyle w:val="Heading3"/>
      </w:pPr>
      <w:r>
        <w:t xml:space="preserve">Ⅳ. 입법적 규제의 헌법적 근거와 규율 방식</w:t>
      </w:r>
    </w:p>
    <w:p>
      <w:pPr>
        <w:spacing w:after="60" w:before="140"/>
      </w:pPr>
      <w:r>
        <w:rPr>
          <w:b/>
          <w:bCs/>
          <w:color w:val="18202B"/>
        </w:rPr>
        <w:t xml:space="preserve">1. 헌법이 명령하는 입법</w:t>
      </w:r>
    </w:p>
    <w:p>
      <w:pPr>
        <w:spacing w:after="120" w:line="340"/>
        <w:ind w:firstLine="220"/>
        <w:jc w:val="both"/>
      </w:pPr>
      <w:r>
        <w:t xml:space="preserve">노동계약 규제는 입법자의 정책 선택에 그치지 않고 헌법이 요구하는 것이다. </w:t>
      </w:r>
      <w:r>
        <w:rPr>
          <w:b/>
          <w:bCs/>
        </w:rPr>
        <w:t xml:space="preserve">헌법 제32조 제1항</w:t>
      </w:r>
      <w:r>
        <w:t xml:space="preserve">은 국가에 적정임금 보장 노력과 최저임금제 시행 의무를 지우고, </w:t>
      </w:r>
      <w:r>
        <w:rPr>
          <w:b/>
          <w:bCs/>
        </w:rPr>
        <w:t xml:space="preserve">제3항</w:t>
      </w:r>
      <w:r>
        <w:t xml:space="preserve">은 "근로조건의 기준은 인간의 존엄성을 보장하도록 법률로 정한다"고 하여 근로조건을 법률로 정하도록 직접 명령한다. </w:t>
      </w:r>
      <w:r>
        <w:rPr>
          <w:b/>
          <w:bCs/>
        </w:rPr>
        <w:t xml:space="preserve">제33조의 노동3권</w:t>
      </w:r>
      <w:r>
        <w:t xml:space="preserve">은 개별 노동자의 열세를 단결이라는 집단의 힘으로 보완하게 하고, </w:t>
      </w:r>
      <w:r>
        <w:rPr>
          <w:b/>
          <w:bCs/>
        </w:rPr>
        <w:t xml:space="preserve">제34조</w:t>
      </w:r>
      <w:r>
        <w:t xml:space="preserve">의 인간다운 생활을 할 권리와 </w:t>
      </w:r>
      <w:r>
        <w:rPr>
          <w:b/>
          <w:bCs/>
        </w:rPr>
        <w:t xml:space="preserve">사회국가원리</w:t>
      </w:r>
      <w:r>
        <w:t xml:space="preserve">는 국가가 국민 각자가 실제로 자유를 행사할 수 있는 실질적 조건을 마련할 의무를 진다는 점을 확인한다. 한편 이러한 규제는 사용자의 계약자유·직업의 자유·재산권을 제한하므로, </w:t>
      </w:r>
      <w:r>
        <w:rPr>
          <w:b/>
          <w:bCs/>
        </w:rPr>
        <w:t xml:space="preserve">헌법 제37조 제2항</w:t>
      </w:r>
      <w:r>
        <w:t xml:space="preserve">의 공공복리 요건과 과잉금지원칙의 범위 안에서 정당화되어야 한다.</w:t>
      </w:r>
    </w:p>
    <w:p>
      <w:pPr>
        <w:spacing w:after="60" w:before="140"/>
      </w:pPr>
      <w:r>
        <w:rPr>
          <w:b/>
          <w:bCs/>
          <w:color w:val="18202B"/>
        </w:rPr>
        <w:t xml:space="preserve">2. '최저기준'과 '부분 무효·보충'이라는 입법 기술</w:t>
      </w:r>
    </w:p>
    <w:p>
      <w:pPr>
        <w:spacing w:after="120" w:line="340"/>
        <w:ind w:firstLine="220"/>
        <w:jc w:val="both"/>
      </w:pPr>
      <w:r>
        <w:t xml:space="preserve">근로기준법은 계약자유를 전면 부정하지 않는다. </w:t>
      </w:r>
      <w:r>
        <w:rPr>
          <w:b/>
          <w:bCs/>
        </w:rPr>
        <w:t xml:space="preserve">제3조</w:t>
      </w:r>
      <w:r>
        <w:t xml:space="preserve">는 이 법의 근로조건이 </w:t>
      </w:r>
      <w:r>
        <w:rPr>
          <w:b/>
          <w:bCs/>
        </w:rPr>
        <w:t xml:space="preserve">최저기준</w:t>
      </w:r>
      <w:r>
        <w:t xml:space="preserve">이라고 선언하고 그 이상은 당사자에게 맡긴다. </w:t>
      </w:r>
      <w:r>
        <w:rPr>
          <w:b/>
          <w:bCs/>
        </w:rPr>
        <w:t xml:space="preserve">제4조</w:t>
      </w:r>
      <w:r>
        <w:t xml:space="preserve">는 근로조건을 근로자와 사용자가 "</w:t>
      </w:r>
      <w:r>
        <w:rPr>
          <w:b/>
          <w:bCs/>
        </w:rPr>
        <w:t xml:space="preserve">동등한 지위에서 자유의사에 따라</w:t>
      </w:r>
      <w:r>
        <w:t xml:space="preserve">" 결정해야 한다고 하여, 규제의 목적이 계약자유의 실질적 회복에 있음을 밝힌다. 가장 핵심적인 장치는 </w:t>
      </w:r>
      <w:r>
        <w:rPr>
          <w:b/>
          <w:bCs/>
        </w:rPr>
        <w:t xml:space="preserve">제15조</w:t>
      </w:r>
      <w:r>
        <w:t xml:space="preserve">다. 이 법의 기준에 못 미치는 근로조건은 </w:t>
      </w:r>
      <w:r>
        <w:rPr>
          <w:b/>
          <w:bCs/>
        </w:rPr>
        <w:t xml:space="preserve">그 부분만</w:t>
      </w:r>
      <w:r>
        <w:t xml:space="preserve"> 무효가 되고(강행적 효력), 무효가 된 부분은 </w:t>
      </w:r>
      <w:r>
        <w:rPr>
          <w:b/>
          <w:bCs/>
        </w:rPr>
        <w:t xml:space="preserve">법이 정한 기준으로 채워진다</w:t>
      </w:r>
      <w:r>
        <w:t xml:space="preserve">(보충적 효력). 이는 민법 제104조가 계약 전체를 무효로 만들어 노동자를 오히려 곤란하게 하는 문제를 해결하면서, 계약은 살리고 불공정한 내용만 바로잡는 정교한 방식이다. 최저임금법 제6조 제3항도 같은 구조이며, 제28조는 위반 사용자를 형사처벌하여 </w:t>
      </w:r>
      <w:r>
        <w:rPr>
          <w:b/>
          <w:bCs/>
        </w:rPr>
        <w:t xml:space="preserve">공법적 강제</w:t>
      </w:r>
      <w:r>
        <w:t xml:space="preserve">로 실효성을 확보한다. 그 밖에 해고 제한(제23조), 임금 지급 원칙(제43조), 법정 근로시간(제50조), 직장 내 괴롭힘 금지(제76조의2)가 같은 취지로 계약 내용을 규율한다.</w:t>
      </w:r>
    </w:p>
    <w:p>
      <w:pPr>
        <w:pStyle w:val="Heading3"/>
      </w:pPr>
      <w:r>
        <w:t xml:space="preserve">Ⅴ. 구체적 예: 분쟁해결과 입법 활동의 쟁점</w:t>
      </w:r>
    </w:p>
    <w:p>
      <w:pPr>
        <w:spacing w:after="60" w:before="140"/>
      </w:pPr>
      <w:r>
        <w:rPr>
          <w:b/>
          <w:bCs/>
          <w:color w:val="18202B"/>
        </w:rPr>
        <w:t xml:space="preserve">1. 최저임금에 못 미치는 '합의'</w:t>
      </w:r>
    </w:p>
    <w:p>
      <w:pPr>
        <w:spacing w:after="120" w:line="340"/>
        <w:ind w:firstLine="220"/>
        <w:jc w:val="both"/>
      </w:pPr>
      <w:r>
        <w:t xml:space="preserve">편의점에서 일하는 대학생 A가 "경험을 쌓는 일이니 최저임금보다 낮은 시급도 괜찮다"고 사업주와 합의했다고 하자. 강박이나 사기가 없으므로 민법상으로는 유효한 의사표시다. 그러나 A의 동의는 일자리를 잃을 수 있다는 압박 아래에서 나온 것으로, </w:t>
      </w:r>
      <w:r>
        <w:rPr>
          <w:b/>
          <w:bCs/>
        </w:rPr>
        <w:t xml:space="preserve">주관적 정당성은 있어도 객관적 정당성은 없다</w:t>
      </w:r>
      <w:r>
        <w:t xml:space="preserve">. 최저임금법 제6조 제3항에 따라 미달 부분은 무효가 되고 최저임금액을 지급하기로 한 것으로 본다. 노동자 자신이 동의했는데도 무효로 하는 것은 온정주의가 아니라, 그 동의가 계약자유를 정당화할 만한 자기결정이 아니었기 때문이다. 흥정을 개별 노동자에게 맡기면 서로 더 낮은 임금을 받아들이는 </w:t>
      </w:r>
      <w:r>
        <w:rPr>
          <w:b/>
          <w:bCs/>
        </w:rPr>
        <w:t xml:space="preserve">바닥으로의 경쟁</w:t>
      </w:r>
      <w:r>
        <w:t xml:space="preserve">이 일어나 모든 노동자의 근로조건이 함께 낮아진다는 점도 최저기준을 법률로 정해야 하는 이유다.</w:t>
      </w:r>
    </w:p>
    <w:p>
      <w:pPr>
        <w:spacing w:after="60" w:before="140"/>
      </w:pPr>
      <w:r>
        <w:rPr>
          <w:b/>
          <w:bCs/>
          <w:color w:val="18202B"/>
        </w:rPr>
        <w:t xml:space="preserve">2. 장시간 노동과 주 52시간제</w:t>
      </w:r>
    </w:p>
    <w:p>
      <w:pPr>
        <w:spacing w:after="120" w:line="340"/>
        <w:ind w:firstLine="220"/>
        <w:jc w:val="both"/>
      </w:pPr>
      <w:r>
        <w:t xml:space="preserve">노동자가 더 많은 수당을 받으려고 주 60시간이 넘는 근무에 '자발적으로' 동의하는 경우도 있다. 그러나 낮은 기본급 구조 아래에서 장시간 노동은 생계를 위해 사실상 강제된 선택이며, </w:t>
      </w:r>
      <w:r>
        <w:rPr>
          <w:b/>
          <w:bCs/>
        </w:rPr>
        <w:t xml:space="preserve">처분할 수 없는 법익인 건강과 생명</w:t>
      </w:r>
      <w:r>
        <w:t xml:space="preserve">을 해친다. 수업 자료가 보여 주듯 장시간 노동은 산업재해의 위험을 높인다. 근로기준법 제50조는 1주 40시간, 1일 8시간을 원칙으로 하고, 2018년 개정으로 '1주는 7일'임을 명시하여 연장근로를 포함한 주 최대 근로시간을 </w:t>
      </w:r>
      <w:r>
        <w:rPr>
          <w:b/>
          <w:bCs/>
        </w:rPr>
        <w:t xml:space="preserve">68시간에서 52시간</w:t>
      </w:r>
      <w:r>
        <w:t xml:space="preserve">으로 줄였다(300인 이상 사업장부터 단계적 시행). 입법 토론에서는 업종 특성과 노동자의 선택권을 들어 근로시간을 유연화하자는 주장('주 최대 69시간' 논란)과 노동시간 단축이라는 정책 기조를 지켜야 한다는 주장이 맞섰다. 계약공정의 관점에서 보면 유연화는 노동자가 </w:t>
      </w:r>
      <w:r>
        <w:rPr>
          <w:b/>
          <w:bCs/>
        </w:rPr>
        <w:t xml:space="preserve">실질적으로 거부할 수 있는 조건</w:t>
      </w:r>
      <w:r>
        <w:t xml:space="preserve">, 곧 충분한 기본급, 근로자대표를 통한 집단적 합의, 연속휴식 같은 건강 보호 장치가 갖추어진 범위에서만 정당화될 수 있다.</w:t>
      </w:r>
    </w:p>
    <w:p>
      <w:pPr>
        <w:spacing w:after="60" w:before="140"/>
      </w:pPr>
      <w:r>
        <w:rPr>
          <w:b/>
          <w:bCs/>
          <w:color w:val="18202B"/>
        </w:rPr>
        <w:t xml:space="preserve">3. 해고 분쟁과 분쟁해결의 구조</w:t>
      </w:r>
    </w:p>
    <w:p>
      <w:pPr>
        <w:spacing w:after="120" w:line="340"/>
        <w:ind w:firstLine="220"/>
        <w:jc w:val="both"/>
      </w:pPr>
      <w:r>
        <w:t xml:space="preserve">근로계약서에 "회사는 언제든지 계약을 해지할 수 있다"는 조항이 있다면 민법 제660조 아래에서는 유효한 해지권 유보다. 그러나 근로기준법 </w:t>
      </w:r>
      <w:r>
        <w:rPr>
          <w:b/>
          <w:bCs/>
        </w:rPr>
        <w:t xml:space="preserve">제23조</w:t>
      </w:r>
      <w:r>
        <w:t xml:space="preserve">는 </w:t>
      </w:r>
      <w:r>
        <w:rPr>
          <w:b/>
          <w:bCs/>
        </w:rPr>
        <w:t xml:space="preserve">정당한 이유 없는 해고</w:t>
      </w:r>
      <w:r>
        <w:t xml:space="preserve">를 금지하고, 노동자는 </w:t>
      </w:r>
      <w:r>
        <w:rPr>
          <w:b/>
          <w:bCs/>
        </w:rPr>
        <w:t xml:space="preserve">노동위원회</w:t>
      </w:r>
      <w:r>
        <w:t xml:space="preserve">에 부당해고 구제를 신청하거나 법원에 해고무효확인을 구할 수 있다. 수업에서 본 분쟁해결의 연속선, 즉 </w:t>
      </w:r>
      <w:r>
        <w:rPr>
          <w:b/>
          <w:bCs/>
        </w:rPr>
        <w:t xml:space="preserve">당사자 간 의사결정(협상 등) → 사적 제3자의 결정 → 법적 권위를 가진 제3자의 결정(사법결정·입법결정) → 법외적 강제</w:t>
      </w:r>
      <w:r>
        <w:t xml:space="preserve">에 비추어 보면, 힘이 대등하지 않은 노사 분쟁을 당사자 간 협상에만 맡기면 결과는 힘의 차이를 그대로 반영할 뿐이다. 그래서 행정적·사법적 구제라는 </w:t>
      </w:r>
      <w:r>
        <w:rPr>
          <w:b/>
          <w:bCs/>
        </w:rPr>
        <w:t xml:space="preserve">공적 제3자의 개입</w:t>
      </w:r>
      <w:r>
        <w:t xml:space="preserve">을 입법으로 보장하고, 나아가 해고 사유와 절차 같은 일반 규칙을 </w:t>
      </w:r>
      <w:r>
        <w:rPr>
          <w:b/>
          <w:bCs/>
        </w:rPr>
        <w:t xml:space="preserve">입법결정</w:t>
      </w:r>
      <w:r>
        <w:t xml:space="preserve">으로 미리 정해 두어야 분쟁을 공정하게 해결할 수 있다. 노동3권이 보장하는 단체교섭과 단체행동은 개별적으로는 불가능한 대등한 교섭을 집단의 힘으로 가능하게 하는, 법이 제도화한 장치다.</w:t>
      </w:r>
    </w:p>
    <w:p>
      <w:pPr>
        <w:spacing w:after="60" w:before="140"/>
      </w:pPr>
      <w:r>
        <w:rPr>
          <w:b/>
          <w:bCs/>
          <w:color w:val="18202B"/>
        </w:rPr>
        <w:t xml:space="preserve">4. 보호의 사각지대와 새로운 입법 쟁점</w:t>
      </w:r>
    </w:p>
    <w:p>
      <w:pPr>
        <w:spacing w:after="120" w:line="340"/>
        <w:ind w:firstLine="220"/>
        <w:jc w:val="both"/>
      </w:pPr>
      <w:r>
        <w:t xml:space="preserve">입법 활동에서 다룬 쟁점들은 계약공정의 원리를 어디까지 넓혀야 하는지 보여 준다. </w:t>
      </w:r>
      <w:r>
        <w:rPr>
          <w:b/>
          <w:bCs/>
        </w:rPr>
        <w:t xml:space="preserve">상시 4명 이하 사업장</w:t>
      </w:r>
      <w:r>
        <w:t xml:space="preserve">에는 해고 제한, 연장·야간·휴일근로 가산수당, 연차휴가, 근로시간 제한 등 근로기준법의 핵심 규정이 적용되지 않는다. 교섭력이 가장 약한 영세 사업장 노동자가 오히려 보호에서 빠지는 역설이다. 다만 영세 사업주의 부담도 실재하므로, 사용자의 직업의 자유·재산권과 노동자 보호를 </w:t>
      </w:r>
      <w:r>
        <w:rPr>
          <w:b/>
          <w:bCs/>
        </w:rPr>
        <w:t xml:space="preserve">이익형량</w:t>
      </w:r>
      <w:r>
        <w:t xml:space="preserve">하여 단계적으로 적용을 넓히고 지원책을 함께 마련하는 것이 바람직하다. 또 </w:t>
      </w:r>
      <w:r>
        <w:rPr>
          <w:b/>
          <w:bCs/>
        </w:rPr>
        <w:t xml:space="preserve">중대재해처벌법</w:t>
      </w:r>
      <w:r>
        <w:t xml:space="preserve">이 경영책임자에게 안전보건 확보의무를 지우고 사망사고 시 1년 이상의 징역 또는 10억 원 이하의 벌금을 과하는 것은, 과실책임 원칙을 수정해 </w:t>
      </w:r>
      <w:r>
        <w:rPr>
          <w:b/>
          <w:bCs/>
        </w:rPr>
        <w:t xml:space="preserve">위험을 지배하는 자에게 책임을 귀속</w:t>
      </w:r>
      <w:r>
        <w:t xml:space="preserve">시키는 무과실책임·위험책임의 논리와 같은 선상에 있다. 산업재해의 위험은 계약으로 노동자에게 떠넘길 수 없다는 것이다. 업종별·지역별 </w:t>
      </w:r>
      <w:r>
        <w:rPr>
          <w:b/>
          <w:bCs/>
        </w:rPr>
        <w:t xml:space="preserve">최저임금 차등 적용</w:t>
      </w:r>
      <w:r>
        <w:t xml:space="preserve"> 논쟁 역시 최저기준의 보편성과 개별 산업의 현실을 어떻게 조화시킬지의 문제다.</w:t>
      </w:r>
    </w:p>
    <w:p>
      <w:pPr>
        <w:pStyle w:val="Heading3"/>
      </w:pPr>
      <w:r>
        <w:t xml:space="preserve">Ⅵ. 규제의 한계: 계약자유의 부정이 아니라 회복</w:t>
      </w:r>
    </w:p>
    <w:p>
      <w:pPr>
        <w:spacing w:after="120" w:line="340"/>
        <w:ind w:firstLine="220"/>
        <w:jc w:val="both"/>
      </w:pPr>
      <w:r>
        <w:t xml:space="preserve">노동계약 규제가 정당하다고 해서 국가가 근로조건 전부를 정해야 한다는 뜻은 아니다. 과도하고 획일적인 규제는 고용을 위축시키고 업종의 다양한 현실을 무시할 수 있으며, 사용자의 기본권을 과잉 제한할 수 있다. 그래서 노동법은 </w:t>
      </w:r>
      <w:r>
        <w:rPr>
          <w:b/>
          <w:bCs/>
        </w:rPr>
        <w:t xml:space="preserve">두 겹의 구조</w:t>
      </w:r>
      <w:r>
        <w:t xml:space="preserve">를 취한다. 국가는 개별적 근로관계법으로 인간의 존엄을 위한 </w:t>
      </w:r>
      <w:r>
        <w:rPr>
          <w:b/>
          <w:bCs/>
        </w:rPr>
        <w:t xml:space="preserve">바닥(최저기준)</w:t>
      </w:r>
      <w:r>
        <w:t xml:space="preserve">을 정하고, 그 위의 근로조건은 노동3권에 기초한 단체교섭, 곧 </w:t>
      </w:r>
      <w:r>
        <w:rPr>
          <w:b/>
          <w:bCs/>
        </w:rPr>
        <w:t xml:space="preserve">집단적 자치</w:t>
      </w:r>
      <w:r>
        <w:t xml:space="preserve">에 맡긴다. 이는 사적자치를 폐기하는 것이 아니라, 개별 노동자 차원에서는 불가능했던 대등한 자기결정을 법정 최저기준과 집단적 자치를 통해 </w:t>
      </w:r>
      <w:r>
        <w:rPr>
          <w:b/>
          <w:bCs/>
        </w:rPr>
        <w:t xml:space="preserve">복원</w:t>
      </w:r>
      <w:r>
        <w:t xml:space="preserve">하는 것이다.</w:t>
      </w:r>
    </w:p>
    <w:p>
      <w:pPr>
        <w:pStyle w:val="Heading3"/>
      </w:pPr>
      <w:r>
        <w:t xml:space="preserve">Ⅶ. 결론</w:t>
      </w:r>
    </w:p>
    <w:p>
      <w:pPr>
        <w:spacing w:after="120" w:line="340"/>
        <w:ind w:firstLine="220"/>
        <w:jc w:val="both"/>
      </w:pPr>
      <w:r>
        <w:t xml:space="preserve">근대 사법이 약속한 자유는 대등한 당사자를 전제로 한다. 형식적으로 평등한 자유가 실질적 불평등 위에서 작동하면 강한 자를 더 강하게 만들 뿐이며, 바로 이 문제를 해결하려고 등장한 것이 사회국가원리다. 노동계약은 거래 대상이 인간 자신과 분리될 수 없고, 노동자가 거절할 수 없는 처지에서 계약을 맺으며, 계약 이후에도 종속 관계가 이어진다는 점에서 그 불균형이 가장 뚜렷한 영역이다. 그러므로 노동계약에 대한 입법적 규제는 계약자유를 침해하는 것이 아니라, </w:t>
      </w:r>
      <w:r>
        <w:rPr>
          <w:b/>
          <w:bCs/>
        </w:rPr>
        <w:t xml:space="preserve">계약자유가 본래 약속한 자기결정과 정의를 노동의 영역에서 실현하는 조건</w:t>
      </w:r>
      <w:r>
        <w:t xml:space="preserve">이다. 1944년 ILO 필라델피아 선언이 "</w:t>
      </w:r>
      <w:r>
        <w:rPr>
          <w:b/>
          <w:bCs/>
        </w:rPr>
        <w:t xml:space="preserve">노동은 상품이 아니다</w:t>
      </w:r>
      <w:r>
        <w:t xml:space="preserve">"라고 천명하고, 우리 헌법이 근로조건의 기준을 인간의 존엄성에 맞게 법률로 정하도록 한 것은, 계약의 공정이 결국 </w:t>
      </w:r>
      <w:r>
        <w:rPr>
          <w:b/>
          <w:bCs/>
        </w:rPr>
        <w:t xml:space="preserve">인간 존엄의 문제</w:t>
      </w:r>
      <w:r>
        <w:t xml:space="preserve">임을 확인한 것이다.</w:t>
      </w:r>
    </w:p>
    <w:p>
      <w:pPr>
        <w:pStyle w:val="Heading2"/>
      </w:pPr>
      <w:r>
        <w:t xml:space="preserve">압축 답안 (시간이 부족할 때)</w:t>
      </w:r>
    </w:p>
    <w:p>
      <w:pPr>
        <w:spacing w:after="120" w:line="340"/>
        <w:ind w:firstLine="220"/>
        <w:jc w:val="both"/>
      </w:pPr>
      <w:r>
        <w:t xml:space="preserve">사적자치와 계약자유는 합리적·자율적 개인을 전제로, 합의 과정에서 이익이 조정된다는 </w:t>
      </w:r>
      <w:r>
        <w:rPr>
          <w:b/>
          <w:bCs/>
        </w:rPr>
        <w:t xml:space="preserve">주관적 정당성</w:t>
      </w:r>
      <w:r>
        <w:t xml:space="preserve">에 기초한다. 그러나 이는 당사자가 계약 내용을 인식하고 불리한 계약을 거절할 수 있는 </w:t>
      </w:r>
      <w:r>
        <w:rPr>
          <w:b/>
          <w:bCs/>
        </w:rPr>
        <w:t xml:space="preserve">힘의 균형</w:t>
      </w:r>
      <w:r>
        <w:t xml:space="preserve">을 전제로 하며, 그 전제가 무너지면 계약자유는 강자가 약자를 지배하는 수단이 되므로 국가가 객관적 정당성의 관점에서 계약 내용을 통제해야 한다(</w:t>
      </w:r>
      <w:r>
        <w:rPr>
          <w:b/>
          <w:bCs/>
        </w:rPr>
        <w:t xml:space="preserve">계약공정의 원리</w:t>
      </w:r>
      <w:r>
        <w:t xml:space="preserve">). 노동계약은 ① 노동력이 인간의 몸·인격과 분리될 수 없는 허구 상품이고(폴라니), ② 생산수단에서 분리된 노동자는 노동력을 팔지 않고는 생존할 수 없어 거절할 자유가 없으며, ③ 계약 후에도 지휘·명령 아래 인적 종속이 계속되고, ④ 민법의 고용 규정은 임의규정이며 제103·104조는 요건이 엄격하고 전부 무효라는 효과 때문에 노동자 보호에 맞지 않는다는 점에서 이 전제가 가장 뚜렷이 무너진다. 그래서 헌법 제32조 제3항은 근로조건의 기준을 인간의 존엄성에 맞게 법률로 정하도록 하고, 근로기준법은 최저기준(제3조)에 못 미치는 부분만 무효로 하고 법정 기준으로 채운다(제15조). 예컨대 최저임금 미달 합의는 노동자가 동의했어도 최저임금법 제6조 제3항에 따라 미달 부분이 무효이고, 건강과 생명을 해치는 장시간 노동 합의는 주 52시간제로 제한되며, "언제든 해고" 조항은 근로기준법 제23조에 반하고 노동위원회·법원이라는 공적 제3자를 통해 구제된다. 5인 미만 사업장 적용 제외, 중대재해처벌법 같은 입법 쟁점도 같은 원리에서 접근해야 한다. 이러한 규제는 계약자유의 부정이 아니라, 최저기준과 집단적 자치를 통해 노동의 영역에서 실질적 자기결정을 회복하는 것이다.</w:t>
      </w:r>
    </w:p>
    <w:p>
      <w:pPr>
        <w:pBdr>
          <w:left w:val="single" w:color="1F3F8F" w:sz="18" w:space="8"/>
        </w:pBdr>
        <w:shd w:fill="E3E9F7" w:color="auto" w:val="clear"/>
        <w:spacing w:after="0" w:before="120"/>
        <w:ind w:left="160" w:right="160"/>
      </w:pPr>
      <w:r>
        <w:rPr>
          <w:b/>
          <w:bCs/>
          <w:color w:val="1F3F8F"/>
        </w:rPr>
        <w:t xml:space="preserve">핵심 키워드</w:t>
      </w:r>
    </w:p>
    <w:p>
      <w:pPr>
        <w:pBdr>
          <w:left w:val="single" w:color="1F3F8F" w:sz="18" w:space="8"/>
        </w:pBdr>
        <w:shd w:fill="E3E9F7" w:color="auto" w:val="clear"/>
        <w:spacing w:after="160"/>
        <w:ind w:left="160" w:right="160"/>
      </w:pPr>
      <w:r>
        <w:t xml:space="preserve">사적자치(자기결정·자기책임) · 주관적/객관적 정당성 · 힘의 균형(인식가능성·실현가능성) · 계약공정의 원리 · 사회적 조화의 원칙 · 허구 상품(폴라니) · 종속적 노동(김유성) · 민법 제660조·제104조의 한계 · 헌법 제32조 제3항 · 근로기준법 제3·4·15·23·50조 · 최저임금법 제6조 제3항 · 분쟁해결 연속선 · 5인 미만 사업장 · 중대재해처벌법 · 집단적 자치 · 노동은 상품이 아니다</w:t>
      </w:r>
    </w:p>
    <w:p>
      <w:pPr>
        <w:pStyle w:val="Heading1"/>
        <w:pageBreakBefore/>
      </w:pPr>
      <w:r>
        <w:t xml:space="preserve">문제 2. 양심적 병역거부: 헌법재판소 구·신 결정 비교</w:t>
      </w:r>
    </w:p>
    <w:p>
      <w:pPr>
        <w:pBdr>
          <w:left w:val="single" w:color="5A6575" w:sz="18" w:space="8"/>
        </w:pBdr>
        <w:shd w:fill="F3F5F8" w:color="auto" w:val="clear"/>
        <w:spacing w:after="0" w:before="120"/>
        <w:ind w:left="160" w:right="160"/>
      </w:pPr>
      <w:r>
        <w:rPr>
          <w:b/>
          <w:bCs/>
          <w:color w:val="5A6575"/>
        </w:rPr>
        <w:t xml:space="preserve">문제</w:t>
      </w:r>
    </w:p>
    <w:p>
      <w:pPr>
        <w:pBdr>
          <w:left w:val="single" w:color="5A6575" w:sz="18" w:space="8"/>
        </w:pBdr>
        <w:shd w:fill="F3F5F8" w:color="auto" w:val="clear"/>
        <w:spacing w:after="160"/>
        <w:ind w:left="160" w:right="160"/>
      </w:pPr>
      <w:r>
        <w:t xml:space="preserve">구 병역법 제5조 제1항이 양심적 병역거부자를 위한 대체역 복무를 정하지 않고 있는 것이 헌법 제19조에서 보장하는 양심의 자유에 대한 침해인지 여부에 대한 (헌법 제37조 제1항 과잉금지의 원칙 심사에 따른) 헌법재판소의 구 결정과 신 결정을 비교하여 설명하시오.</w:t>
      </w:r>
    </w:p>
    <w:p>
      <w:pPr>
        <w:pStyle w:val="Heading2"/>
      </w:pPr>
      <w:r>
        <w:t xml:space="preserve">답안 개요</w:t>
      </w:r>
    </w:p>
    <w:p>
      <w:pPr>
        <w:pStyle w:val="ListParagraph"/>
        <w:numPr>
          <w:ilvl w:val="0"/>
          <w:numId w:val="4"/>
        </w:numPr>
        <w:spacing w:after="40"/>
      </w:pPr>
      <w:r>
        <w:rPr>
          <w:b/>
          <w:bCs/>
        </w:rPr>
        <w:t xml:space="preserve">문제의 소재</w:t>
      </w:r>
      <w:r>
        <w:t xml:space="preserve">: 양심적 병역거부의 의미, 병역종류조항과 처벌조항, 심사 기준은 헌법 제37조 제2항 과잉금지원칙</w:t>
      </w:r>
    </w:p>
    <w:p>
      <w:pPr>
        <w:pStyle w:val="ListParagraph"/>
        <w:numPr>
          <w:ilvl w:val="0"/>
          <w:numId w:val="4"/>
        </w:numPr>
        <w:spacing w:after="40"/>
      </w:pPr>
      <w:r>
        <w:rPr>
          <w:b/>
          <w:bCs/>
        </w:rPr>
        <w:t xml:space="preserve">공통 전제</w:t>
      </w:r>
      <w:r>
        <w:t xml:space="preserve">: 양심의 정의, 양심형성의 자유 vs 양심실현의 자유, 부작위에 의한 양심실현의 자유</w:t>
      </w:r>
    </w:p>
    <w:p>
      <w:pPr>
        <w:pStyle w:val="ListParagraph"/>
        <w:numPr>
          <w:ilvl w:val="0"/>
          <w:numId w:val="4"/>
        </w:numPr>
        <w:spacing w:after="40"/>
      </w:pPr>
      <w:r>
        <w:rPr>
          <w:b/>
          <w:bCs/>
        </w:rPr>
        <w:t xml:space="preserve">구 결정(2004·2011)</w:t>
      </w:r>
      <w:r>
        <w:t xml:space="preserve">: 처벌조항 심사, 넓은 입법재량·완화된 심사, 최소성·균형성 충족 → 합헌 + 입법 권고</w:t>
      </w:r>
    </w:p>
    <w:p>
      <w:pPr>
        <w:pStyle w:val="ListParagraph"/>
        <w:numPr>
          <w:ilvl w:val="0"/>
          <w:numId w:val="4"/>
        </w:numPr>
        <w:spacing w:after="40"/>
      </w:pPr>
      <w:r>
        <w:rPr>
          <w:b/>
          <w:bCs/>
        </w:rPr>
        <w:t xml:space="preserve">신 결정(2018)</w:t>
      </w:r>
      <w:r>
        <w:t xml:space="preserve">: 병역종류조항 직접 심사(부진정입법부작위), 최소성·균형성 위반 → 헌법불합치(6:3), 처벌조항 합헌(4:4:1)</w:t>
      </w:r>
    </w:p>
    <w:p>
      <w:pPr>
        <w:pStyle w:val="ListParagraph"/>
        <w:numPr>
          <w:ilvl w:val="0"/>
          <w:numId w:val="4"/>
        </w:numPr>
        <w:spacing w:after="40"/>
      </w:pPr>
      <w:r>
        <w:rPr>
          <w:b/>
          <w:bCs/>
        </w:rPr>
        <w:t xml:space="preserve">비교</w:t>
      </w:r>
      <w:r>
        <w:t xml:space="preserve">: 심판대상 / 심사 강도와 입증 부담 / 형량 모델(양자택일→조화) / 양심의 자유 이해 / 결론(권고→명령), 변화의 배경</w:t>
      </w:r>
    </w:p>
    <w:p>
      <w:pPr>
        <w:pStyle w:val="ListParagraph"/>
        <w:numPr>
          <w:ilvl w:val="0"/>
          <w:numId w:val="4"/>
        </w:numPr>
        <w:spacing w:after="40"/>
      </w:pPr>
      <w:r>
        <w:rPr>
          <w:b/>
          <w:bCs/>
        </w:rPr>
        <w:t xml:space="preserve">결론과 평가</w:t>
      </w:r>
      <w:r>
        <w:t xml:space="preserve">: 소수자 양심의 헌법적 무게, 현행 대체복무(36개월·교정시설)의 과제</w:t>
      </w:r>
    </w:p>
    <w:p>
      <w:pPr>
        <w:pStyle w:val="Heading2"/>
      </w:pPr>
      <w:r>
        <w:t xml:space="preserve">모범답안</w:t>
      </w:r>
    </w:p>
    <w:p>
      <w:pPr>
        <w:pStyle w:val="Heading3"/>
      </w:pPr>
      <w:r>
        <w:t xml:space="preserve">Ⅰ. 문제의 소재</w:t>
      </w:r>
    </w:p>
    <w:p>
      <w:pPr>
        <w:spacing w:after="120" w:line="340"/>
        <w:ind w:firstLine="220"/>
        <w:jc w:val="both"/>
      </w:pPr>
      <w:r>
        <w:rPr>
          <w:b/>
          <w:bCs/>
        </w:rPr>
        <w:t xml:space="preserve">양심적 병역거부</w:t>
      </w:r>
      <w:r>
        <w:t xml:space="preserve">란 종교적·윤리적·철학적 또는 이와 유사한 동기에서 형성된 양심상의 결정을 이유로 집총이나 군사훈련을 수반하는 병역의무의 이행을 거부하는 것을 말한다. 여기서 '양심적'이라는 말은 병역거부가 도덕적으로 옳다는 평가가 아니라, 그 결정이 '양심에 따른' 것이라는 뜻이다. 비폭력 평화주의는 초기 기독교 전통(295년 병역을 거부하다 처형된 막시밀리아누스)에서 재세례파(메노나이트, 아미쉬)로 이어진 오랜 신앙 전통이며, 우리나라에서는 주로 여호와의 증인 신도들이 병역을 거부하여 매년 수백 명이 1년 6개월의 실형을 선고받아 왔다.</w:t>
      </w:r>
    </w:p>
    <w:p>
      <w:pPr>
        <w:spacing w:after="120" w:line="340"/>
        <w:ind w:firstLine="220"/>
        <w:jc w:val="both"/>
      </w:pPr>
      <w:r>
        <w:t xml:space="preserve">구 병역법 </w:t>
      </w:r>
      <w:r>
        <w:rPr>
          <w:b/>
          <w:bCs/>
        </w:rPr>
        <w:t xml:space="preserve">제5조 제1항(병역종류조항)</w:t>
      </w:r>
      <w:r>
        <w:t xml:space="preserve">은 병역의 종류를 현역·예비역·보충역·제1국민역·제2국민역(이후 병역준비역·전시근로역)으로 한정하였고, 이들은 모두 </w:t>
      </w:r>
      <w:r>
        <w:rPr>
          <w:b/>
          <w:bCs/>
        </w:rPr>
        <w:t xml:space="preserve">군사훈련을 전제</w:t>
      </w:r>
      <w:r>
        <w:t xml:space="preserve">로 하였다. 군사훈련이 없는 대체역이 없었으므로, 양심적 병역거부자에게는 양심을 버리고 입영하거나 </w:t>
      </w:r>
      <w:r>
        <w:rPr>
          <w:b/>
          <w:bCs/>
        </w:rPr>
        <w:t xml:space="preserve">제88조 제1항(처벌조항)</w:t>
      </w:r>
      <w:r>
        <w:t xml:space="preserve">에 따라 3년 이하의 징역형을 받는 길밖에 없었다. 쟁점은 이처럼 대체복무를 규정하지 않은 것이 </w:t>
      </w:r>
      <w:r>
        <w:rPr>
          <w:b/>
          <w:bCs/>
        </w:rPr>
        <w:t xml:space="preserve">헌법 제19조 양심의 자유</w:t>
      </w:r>
      <w:r>
        <w:t xml:space="preserve">를 침해하는지이며, 그 판단 기준은 기본권 제한의 한계를 정한 </w:t>
      </w:r>
      <w:r>
        <w:rPr>
          <w:b/>
          <w:bCs/>
        </w:rPr>
        <w:t xml:space="preserve">헌법 제37조 제2항의 과잉금지원칙</w:t>
      </w:r>
      <w:r>
        <w:t xml:space="preserve">(목적의 정당성, 수단의 적합성, 침해의 최소성, 법익의 균형성)이다. 헌법재판소는 2004년과 2011년에는 합헌으로 보았으나, 2018년에는 병역종류조항에 대해 헌법불합치를 선고하였다.</w:t>
      </w:r>
    </w:p>
    <w:p>
      <w:pPr>
        <w:pStyle w:val="Heading3"/>
      </w:pPr>
      <w:r>
        <w:t xml:space="preserve">Ⅱ. 공통 전제: 양심의 자유와 제한되는 기본권</w:t>
      </w:r>
    </w:p>
    <w:p>
      <w:pPr>
        <w:spacing w:after="120" w:line="340"/>
        <w:ind w:firstLine="220"/>
        <w:jc w:val="both"/>
      </w:pPr>
      <w:r>
        <w:t xml:space="preserve">헌법재판소는 구·신 결정 모두에서 양심을 "어떤 일의 옳고 그름을 판단함에 있어서 그렇게 행동하지 아니하고는 </w:t>
      </w:r>
      <w:r>
        <w:rPr>
          <w:b/>
          <w:bCs/>
        </w:rPr>
        <w:t xml:space="preserve">자신의 인격적인 존재가치가 허물어지고 말 것이라는 강력하고 진지한 마음의 소리</w:t>
      </w:r>
      <w:r>
        <w:t xml:space="preserve">"로 정의한다. 양심의 자유는 내심에서 양심을 형성하고 결정하는 </w:t>
      </w:r>
      <w:r>
        <w:rPr>
          <w:b/>
          <w:bCs/>
        </w:rPr>
        <w:t xml:space="preserve">양심형성의 자유</w:t>
      </w:r>
      <w:r>
        <w:t xml:space="preserve">와, 형성된 양심을 밖으로 표명하고 실현하는 </w:t>
      </w:r>
      <w:r>
        <w:rPr>
          <w:b/>
          <w:bCs/>
        </w:rPr>
        <w:t xml:space="preserve">양심실현의 자유</w:t>
      </w:r>
      <w:r>
        <w:t xml:space="preserve">를 포함한다. 앞의 것은 절대적으로 보장되지만, 뒤의 것은 타인의 기본권이나 공동체의 법익과 충돌할 수 있으므로 법률로 제한할 수 있다. 양심적 병역거부는 양심에 반하는 행동을 강요받지 않을 자유, 즉 </w:t>
      </w:r>
      <w:r>
        <w:rPr>
          <w:b/>
          <w:bCs/>
        </w:rPr>
        <w:t xml:space="preserve">부작위에 의한 양심실현의 자유</w:t>
      </w:r>
      <w:r>
        <w:t xml:space="preserve">의 문제다. 이와 맞서는 법익은 헌법 제39조 국방의 의무로 구체화되는 </w:t>
      </w:r>
      <w:r>
        <w:rPr>
          <w:b/>
          <w:bCs/>
        </w:rPr>
        <w:t xml:space="preserve">국가안보</w:t>
      </w:r>
      <w:r>
        <w:t xml:space="preserve">와 </w:t>
      </w:r>
      <w:r>
        <w:rPr>
          <w:b/>
          <w:bCs/>
        </w:rPr>
        <w:t xml:space="preserve">병역의무의 공평한 부담</w:t>
      </w:r>
      <w:r>
        <w:t xml:space="preserve">이다.</w:t>
      </w:r>
    </w:p>
    <w:p>
      <w:pPr>
        <w:pStyle w:val="Heading3"/>
      </w:pPr>
      <w:r>
        <w:t xml:space="preserve">Ⅲ. 구 결정: 합헌 (헌재 2004. 8. 26. 2002헌가1 / 헌재 2011. 8. 30. 2008헌가22 등)</w:t>
      </w:r>
    </w:p>
    <w:p>
      <w:pPr>
        <w:spacing w:after="60" w:before="140"/>
      </w:pPr>
      <w:r>
        <w:rPr>
          <w:b/>
          <w:bCs/>
          <w:color w:val="18202B"/>
        </w:rPr>
        <w:t xml:space="preserve">1. 심판대상과 판단 구조</w:t>
      </w:r>
    </w:p>
    <w:p>
      <w:pPr>
        <w:spacing w:after="120" w:line="340"/>
        <w:ind w:firstLine="220"/>
        <w:jc w:val="both"/>
      </w:pPr>
      <w:r>
        <w:t xml:space="preserve">구 결정은 </w:t>
      </w:r>
      <w:r>
        <w:rPr>
          <w:b/>
          <w:bCs/>
        </w:rPr>
        <w:t xml:space="preserve">처벌조항</w:t>
      </w:r>
      <w:r>
        <w:t xml:space="preserve">(구 병역법 제88조 제1항 제1호)을 심판대상으로 삼았다. 대체복무를 규정하지 않은 문제는 처벌조항의 침해 최소성 단계에서 '형사처벌보다 덜 침해적인 대안이 있는가'라는 형태로 </w:t>
      </w:r>
      <w:r>
        <w:rPr>
          <w:b/>
          <w:bCs/>
        </w:rPr>
        <w:t xml:space="preserve">간접적으로</w:t>
      </w:r>
      <w:r>
        <w:t xml:space="preserve"> 다루어졌다.</w:t>
      </w:r>
    </w:p>
    <w:p>
      <w:pPr>
        <w:spacing w:after="60" w:before="140"/>
      </w:pPr>
      <w:r>
        <w:rPr>
          <w:b/>
          <w:bCs/>
          <w:color w:val="18202B"/>
        </w:rPr>
        <w:t xml:space="preserve">2. 심사 강도: 넓은 입법재량과 완화된 심사</w:t>
      </w:r>
    </w:p>
    <w:p>
      <w:pPr>
        <w:spacing w:after="120" w:line="340"/>
        <w:ind w:firstLine="220"/>
        <w:jc w:val="both"/>
      </w:pPr>
      <w:r>
        <w:t xml:space="preserve">2004년 결정은 양심의 자유의 특수성을 강조하였다. 일반적인 기본권 제한에서는 공익과 사익을 형량해 양쪽을 조화시킬 수 있지만, 양심의 자유는 양심에 반하는 행동을 강요받느냐 받지 않느냐의 </w:t>
      </w:r>
      <w:r>
        <w:rPr>
          <w:b/>
          <w:bCs/>
        </w:rPr>
        <w:t xml:space="preserve">양자택일</w:t>
      </w:r>
      <w:r>
        <w:t xml:space="preserve"> 구조여서 법익 형량을 통한 조화가 어렵다고 보았다. 나아가 양심의 자유는 양심을 이유로 법적 의무의 이행을 거부하거나 </w:t>
      </w:r>
      <w:r>
        <w:rPr>
          <w:b/>
          <w:bCs/>
        </w:rPr>
        <w:t xml:space="preserve">대체의무를 요구할 권리를 주는 것이 아니라</w:t>
      </w:r>
      <w:r>
        <w:t xml:space="preserve">, 국가에 대해 가능하면 양심을 </w:t>
      </w:r>
      <w:r>
        <w:rPr>
          <w:b/>
          <w:bCs/>
        </w:rPr>
        <w:t xml:space="preserve">고려</w:t>
      </w:r>
      <w:r>
        <w:t xml:space="preserve">하고 보호해 달라고 요구하는 권리에 그친다고 하였다. 국가안보와 직결된 병역제도의 형성에는 입법자에게 </w:t>
      </w:r>
      <w:r>
        <w:rPr>
          <w:b/>
          <w:bCs/>
        </w:rPr>
        <w:t xml:space="preserve">넓은 형성재량</w:t>
      </w:r>
      <w:r>
        <w:t xml:space="preserve">이 있으므로, 대체복무제를 도입하지 않은 입법자의 판단이 현저히 불합리하거나 명백히 잘못된 것인지만 심사하는 </w:t>
      </w:r>
      <w:r>
        <w:rPr>
          <w:b/>
          <w:bCs/>
        </w:rPr>
        <w:t xml:space="preserve">완화된 심사(명백성 통제)</w:t>
      </w:r>
      <w:r>
        <w:t xml:space="preserve">를 택하였다. 2011년 결정은 과잉금지원칙의 네 요소를 차례로 심사했지만, 국가안보의 특수성을 들어 입법자의 판단을 넓게 존중했다는 점에서 같은 흐름에 있다.</w:t>
      </w:r>
    </w:p>
    <w:p>
      <w:pPr>
        <w:spacing w:after="60" w:before="140"/>
      </w:pPr>
      <w:r>
        <w:rPr>
          <w:b/>
          <w:bCs/>
          <w:color w:val="18202B"/>
        </w:rPr>
        <w:t xml:space="preserve">3. 과잉금지원칙의 단계별 판단</w:t>
      </w:r>
    </w:p>
    <w:p>
      <w:pPr>
        <w:spacing w:after="120" w:line="340"/>
        <w:ind w:firstLine="220"/>
        <w:jc w:val="both"/>
      </w:pPr>
      <w:r>
        <w:rPr>
          <w:b/>
          <w:bCs/>
        </w:rPr>
        <w:t xml:space="preserve">목적의 정당성과 수단의 적합성</w:t>
      </w:r>
      <w:r>
        <w:t xml:space="preserve">은 쉽게 인정되었다. 병역자원을 확보하고 병역부담의 형평을 기하여 국가안보를 실현하려는 목적은 정당하고, 형벌로 병역의무 이행을 강제하는 것은 그 목적에 적합하다는 것이다.</w:t>
      </w:r>
    </w:p>
    <w:p>
      <w:pPr>
        <w:spacing w:after="120" w:line="340"/>
        <w:ind w:firstLine="220"/>
        <w:jc w:val="both"/>
      </w:pPr>
      <w:r>
        <w:t xml:space="preserve">핵심인 </w:t>
      </w:r>
      <w:r>
        <w:rPr>
          <w:b/>
          <w:bCs/>
        </w:rPr>
        <w:t xml:space="preserve">침해의 최소성</w:t>
      </w:r>
      <w:r>
        <w:t xml:space="preserve">에서 구 결정은 대체복무제를 도입할 경우의 위험을 근거로 들었다. ① 남북이 대치하는 특수한 안보 상황, ② 병력자원의 손실 가능성, ③ 진정한 양심과 병역기피를 위한 '위장' 양심을 가려내기 어렵다는 점, ④ 병역의무의 형평성이 무너져 국민 사이에 위화감이 생기고 사회적 공감대도 부족하다는 점이다. 이런 사정에 비추어 대체복무제가 처벌조항과 </w:t>
      </w:r>
      <w:r>
        <w:rPr>
          <w:b/>
          <w:bCs/>
        </w:rPr>
        <w:t xml:space="preserve">같은 효과로</w:t>
      </w:r>
      <w:r>
        <w:t xml:space="preserve"> 입법목적을 달성할 수 있다고 단정할 수 없으므로, 침해의 최소성에 반하지 않는다고 판단하였다.</w:t>
      </w:r>
    </w:p>
    <w:p>
      <w:pPr>
        <w:spacing w:after="120" w:line="340"/>
        <w:ind w:firstLine="220"/>
        <w:jc w:val="both"/>
      </w:pPr>
      <w:r>
        <w:rPr>
          <w:b/>
          <w:bCs/>
        </w:rPr>
        <w:t xml:space="preserve">법익의 균형성</w:t>
      </w:r>
      <w:r>
        <w:t xml:space="preserve">에서는 국가의 존립과 국민 전체의 안전이라는 공익이 대단히 중대하므로 병역거부자가 입는 불이익보다 크다고 보았다.</w:t>
      </w:r>
    </w:p>
    <w:p>
      <w:pPr>
        <w:spacing w:after="60" w:before="140"/>
      </w:pPr>
      <w:r>
        <w:rPr>
          <w:b/>
          <w:bCs/>
          <w:color w:val="18202B"/>
        </w:rPr>
        <w:t xml:space="preserve">4. 결론과 한계</w:t>
      </w:r>
    </w:p>
    <w:p>
      <w:pPr>
        <w:spacing w:after="120" w:line="340"/>
        <w:ind w:firstLine="220"/>
        <w:jc w:val="both"/>
      </w:pPr>
      <w:r>
        <w:t xml:space="preserve">구 결정은 </w:t>
      </w:r>
      <w:r>
        <w:rPr>
          <w:b/>
          <w:bCs/>
        </w:rPr>
        <w:t xml:space="preserve">합헌</w:t>
      </w:r>
      <w:r>
        <w:t xml:space="preserve">으로 결론 내렸다(2004년 결정은 재판관 7:2). 다만 2004년 결정은 입법자에게 양심의 자유와 국가안보를 공존시킬 대안이 있는지 검토하라고 </w:t>
      </w:r>
      <w:r>
        <w:rPr>
          <w:b/>
          <w:bCs/>
        </w:rPr>
        <w:t xml:space="preserve">권고</w:t>
      </w:r>
      <w:r>
        <w:t xml:space="preserve">하였다. 기본권 보호의 필요성을 인식하면서도 그 해소를 입법자의 선의에 맡긴 셈인데, 대체복무제 도입은 이후 오랫동안 실현되지 않았다.</w:t>
      </w:r>
    </w:p>
    <w:p>
      <w:pPr>
        <w:pStyle w:val="Heading3"/>
      </w:pPr>
      <w:r>
        <w:t xml:space="preserve">Ⅳ. 신 결정: 병역종류조항 헌법불합치 (헌재 2018. 6. 28. 2011헌바379 등)</w:t>
      </w:r>
    </w:p>
    <w:p>
      <w:pPr>
        <w:spacing w:after="60" w:before="140"/>
      </w:pPr>
      <w:r>
        <w:rPr>
          <w:b/>
          <w:bCs/>
          <w:color w:val="18202B"/>
        </w:rPr>
        <w:t xml:space="preserve">1. 심판대상의 전환</w:t>
      </w:r>
    </w:p>
    <w:p>
      <w:pPr>
        <w:spacing w:after="120" w:line="340"/>
        <w:ind w:firstLine="220"/>
        <w:jc w:val="both"/>
      </w:pPr>
      <w:r>
        <w:t xml:space="preserve">신 결정은 </w:t>
      </w:r>
      <w:r>
        <w:rPr>
          <w:b/>
          <w:bCs/>
        </w:rPr>
        <w:t xml:space="preserve">병역종류조항을 직접 심판대상</w:t>
      </w:r>
      <w:r>
        <w:t xml:space="preserve">으로 삼았다. 병역의 종류를 정하는 입법을 하면서 군사훈련이 없는 대체역을 포함하지 않은 것은 입법을 전혀 하지 않은 경우(진정입법부작위)가 아니라 입법 내용이 </w:t>
      </w:r>
      <w:r>
        <w:rPr>
          <w:b/>
          <w:bCs/>
        </w:rPr>
        <w:t xml:space="preserve">불완전·불충분한 경우(부진정입법부작위)</w:t>
      </w:r>
      <w:r>
        <w:t xml:space="preserve">이므로, 그 조항 자체를 과잉금지원칙에 따라 심사할 수 있다고 보았다.</w:t>
      </w:r>
    </w:p>
    <w:p>
      <w:pPr>
        <w:spacing w:after="60" w:before="140"/>
      </w:pPr>
      <w:r>
        <w:rPr>
          <w:b/>
          <w:bCs/>
          <w:color w:val="18202B"/>
        </w:rPr>
        <w:t xml:space="preserve">2. 과잉금지원칙의 단계별 판단</w:t>
      </w:r>
    </w:p>
    <w:p>
      <w:pPr>
        <w:spacing w:after="120" w:line="340"/>
        <w:ind w:firstLine="220"/>
        <w:jc w:val="both"/>
      </w:pPr>
      <w:r>
        <w:rPr>
          <w:b/>
          <w:bCs/>
        </w:rPr>
        <w:t xml:space="preserve">목적의 정당성과 수단의 적합성</w:t>
      </w:r>
      <w:r>
        <w:t xml:space="preserve">은 구 결정처럼 인정되었다. 병역의 종류를 한정적으로 열거하고 예외를 두지 않아 병역자원을 효과적으로 확보하려는 것은 국가안보라는 헌법적 법익을 실현하기 위한 것이고, 병역종류조항은 그 목적을 달성하는 데 적합한 수단이라는 것이다.</w:t>
      </w:r>
    </w:p>
    <w:p>
      <w:pPr>
        <w:spacing w:after="120" w:line="340"/>
        <w:ind w:firstLine="220"/>
        <w:jc w:val="both"/>
      </w:pPr>
      <w:r>
        <w:t xml:space="preserve">결론이 갈린 곳은 </w:t>
      </w:r>
      <w:r>
        <w:rPr>
          <w:b/>
          <w:bCs/>
        </w:rPr>
        <w:t xml:space="preserve">침해의 최소성</w:t>
      </w:r>
      <w:r>
        <w:t xml:space="preserve">이다. 헌법재판소는 현역·예비역·보충역·병역준비역·전시근로역이 </w:t>
      </w:r>
      <w:r>
        <w:rPr>
          <w:b/>
          <w:bCs/>
        </w:rPr>
        <w:t xml:space="preserve">모두 군사훈련을 전제</w:t>
      </w:r>
      <w:r>
        <w:t xml:space="preserve">하므로 양심적 병역거부자에게는 양심과 형벌 사이의 선택만 남는다는 점을 지적하고, 구 결정이 들었던 우려를 하나씩 검토하였다. ① 양심적 병역거부자는 연간 수백 명 수준으로 전체 병역자원에 비하면 극히 적고, 처벌을 받아도 결국 교도소에 수감될 뿐 </w:t>
      </w:r>
      <w:r>
        <w:rPr>
          <w:b/>
          <w:bCs/>
        </w:rPr>
        <w:t xml:space="preserve">병력으로 활용되지 않으므로</w:t>
      </w:r>
      <w:r>
        <w:t xml:space="preserve">, 대체복무제를 도입해도 병역자원은 줄지 않는다. 형벌을 감수하면서까지 거부하는 이들에게 처벌은 병역 이행을 끌어내는 효과도 거의 없다. 국방력에서 병력 규모가 차지하는 비중도 과학기술의 발전으로 낮아졌다. ② 엄격한 사전 심사와 사후 관리, 현역보다 길거나 고된 복무를 설계하면 </w:t>
      </w:r>
      <w:r>
        <w:rPr>
          <w:b/>
          <w:bCs/>
        </w:rPr>
        <w:t xml:space="preserve">위장 병역거부를 막을 수 있다</w:t>
      </w:r>
      <w:r>
        <w:t xml:space="preserve">. ③ 대체복무의 기간과 강도를 현역과 실질적으로 같게 설계하면 </w:t>
      </w:r>
      <w:r>
        <w:rPr>
          <w:b/>
          <w:bCs/>
        </w:rPr>
        <w:t xml:space="preserve">병역의무의 형평성</w:t>
      </w:r>
      <w:r>
        <w:t xml:space="preserve">도 지킬 수 있다. ④ 많은 국가가 대체복무제를 도입하였고, 유엔 자유권규약위원회 등 국제기구도 우리나라에 대체복무제 도입을 거듭 권고하였다. 결국 </w:t>
      </w:r>
      <w:r>
        <w:rPr>
          <w:b/>
          <w:bCs/>
        </w:rPr>
        <w:t xml:space="preserve">대체복무제라는 덜 침해적인 대안이 있는데도</w:t>
      </w:r>
      <w:r>
        <w:t xml:space="preserve"> 군사훈련을 수반하는 병역만 규정한 것은 침해의 최소성에 어긋난다.</w:t>
      </w:r>
    </w:p>
    <w:p>
      <w:pPr>
        <w:spacing w:after="120" w:line="340"/>
        <w:ind w:firstLine="220"/>
        <w:jc w:val="both"/>
      </w:pPr>
      <w:r>
        <w:rPr>
          <w:b/>
          <w:bCs/>
        </w:rPr>
        <w:t xml:space="preserve">법익의 균형성</w:t>
      </w:r>
      <w:r>
        <w:t xml:space="preserve">도 부정되었다. 대체복무제를 도입해도 국가안보와 병역의무의 형평이라는 공익은 충분히 달성할 수 있다. 반면 대체복무가 없어 양심적 병역거부자가 감수해야 하는 불이익은 </w:t>
      </w:r>
      <w:r>
        <w:rPr>
          <w:b/>
          <w:bCs/>
        </w:rPr>
        <w:t xml:space="preserve">심대</w:t>
      </w:r>
      <w:r>
        <w:t xml:space="preserve">하다. 1년 6개월 이상의 징역형을 받고, 형 집행 후에도 공무원 임용 제한과 각종 관허업 인허가 제한을 받으며, 전과자라는 사회적 낙인 속에서 살아가야 한다.</w:t>
      </w:r>
    </w:p>
    <w:p>
      <w:pPr>
        <w:spacing w:after="60" w:before="140"/>
      </w:pPr>
      <w:r>
        <w:rPr>
          <w:b/>
          <w:bCs/>
          <w:color w:val="18202B"/>
        </w:rPr>
        <w:t xml:space="preserve">3. 결론: 헌법불합치와 입법 명령</w:t>
      </w:r>
    </w:p>
    <w:p>
      <w:pPr>
        <w:spacing w:after="120" w:line="340"/>
        <w:ind w:firstLine="220"/>
        <w:jc w:val="both"/>
      </w:pPr>
      <w:r>
        <w:t xml:space="preserve">헌법재판소는 병역종류조항이 과잉금지원칙에 위배되어 양심의 자유를 침해한다고 보았다(재판관 </w:t>
      </w:r>
      <w:r>
        <w:rPr>
          <w:b/>
          <w:bCs/>
        </w:rPr>
        <w:t xml:space="preserve">6:3</w:t>
      </w:r>
      <w:r>
        <w:t xml:space="preserve">). 다만 단순위헌을 선고하면 병역종류조항 전체의 효력이 사라져 병역의무를 부과할 근거 자체가 없어지므로, </w:t>
      </w:r>
      <w:r>
        <w:rPr>
          <w:b/>
          <w:bCs/>
        </w:rPr>
        <w:t xml:space="preserve">헌법불합치</w:t>
      </w:r>
      <w:r>
        <w:t xml:space="preserve">를 선고하고 </w:t>
      </w:r>
      <w:r>
        <w:rPr>
          <w:b/>
          <w:bCs/>
        </w:rPr>
        <w:t xml:space="preserve">2019년 12월 31일</w:t>
      </w:r>
      <w:r>
        <w:t xml:space="preserve">까지 개선입법을 하도록 하면서 그때까지 계속 적용을 명하였다.</w:t>
      </w:r>
    </w:p>
    <w:p>
      <w:pPr>
        <w:spacing w:after="120" w:line="340"/>
        <w:ind w:firstLine="220"/>
        <w:jc w:val="both"/>
      </w:pPr>
      <w:r>
        <w:t xml:space="preserve">같은 결정에서 </w:t>
      </w:r>
      <w:r>
        <w:rPr>
          <w:b/>
          <w:bCs/>
        </w:rPr>
        <w:t xml:space="preserve">처벌조항은 합헌</w:t>
      </w:r>
      <w:r>
        <w:t xml:space="preserve">으로 유지되었다(재판관 4(합헌):4(일부위헌):1(각하)로 위헌 정족수 6인에 못 미침). 합헌 의견은 처벌조항이 '정당한 사유 없는' 병역기피를 처벌하는 조항으로서 그 자체로는 과잉금지원칙에 반하지 않으며, 양심적 병역거부자 처벌의 위헌성은 처벌조항이 아니라 </w:t>
      </w:r>
      <w:r>
        <w:rPr>
          <w:b/>
          <w:bCs/>
        </w:rPr>
        <w:t xml:space="preserve">대체복무를 규정하지 않은 병역종류조항의 불완전성</w:t>
      </w:r>
      <w:r>
        <w:t xml:space="preserve">에서 비롯된다고 보았다. 대체복무제가 도입되면 그 복무마저 거부하는 사람을 처벌하면 된다는 것이다.</w:t>
      </w:r>
    </w:p>
    <w:p>
      <w:pPr>
        <w:spacing w:after="60" w:before="140"/>
      </w:pPr>
      <w:r>
        <w:rPr>
          <w:b/>
          <w:bCs/>
          <w:color w:val="18202B"/>
        </w:rPr>
        <w:t xml:space="preserve">4. 후속 변화</w:t>
      </w:r>
    </w:p>
    <w:p>
      <w:pPr>
        <w:spacing w:after="120" w:line="340"/>
        <w:ind w:firstLine="220"/>
        <w:jc w:val="both"/>
      </w:pPr>
      <w:r>
        <w:t xml:space="preserve">이 결정 뒤 대법원은 </w:t>
      </w:r>
      <w:r>
        <w:rPr>
          <w:b/>
          <w:bCs/>
        </w:rPr>
        <w:t xml:space="preserve">2018. 11. 1. 전원합의체 판결(2016도10912)</w:t>
      </w:r>
      <w:r>
        <w:t xml:space="preserve">에서 진정한 양심에 따른 병역거부는 병역법 제88조 제1항의 </w:t>
      </w:r>
      <w:r>
        <w:rPr>
          <w:b/>
          <w:bCs/>
        </w:rPr>
        <w:t xml:space="preserve">'정당한 사유'</w:t>
      </w:r>
      <w:r>
        <w:t xml:space="preserve">에 해당한다고 보아 판례를 변경하였다. 국회는 2019년 12월 </w:t>
      </w:r>
      <w:r>
        <w:rPr>
          <w:b/>
          <w:bCs/>
        </w:rPr>
        <w:t xml:space="preserve">「대체역의 편성 및 복무 등에 관한 법률」</w:t>
      </w:r>
      <w:r>
        <w:t xml:space="preserve">을 제정하고 병역법 제5조에 대체역을 신설하였으며, 2020년부터 대체역 심사를 거친 사람이 교정시설에서 </w:t>
      </w:r>
      <w:r>
        <w:rPr>
          <w:b/>
          <w:bCs/>
        </w:rPr>
        <w:t xml:space="preserve">36개월</w:t>
      </w:r>
      <w:r>
        <w:t xml:space="preserve">간 합숙 복무하는 대체복무가 시행되고 있다.</w:t>
      </w:r>
    </w:p>
    <w:p>
      <w:pPr>
        <w:pStyle w:val="Heading3"/>
      </w:pPr>
      <w:r>
        <w:t xml:space="preserve">Ⅴ. 구 결정과 신 결정의 비교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41"/>
        <w:gridCol w:w="3999"/>
        <w:gridCol w:w="3998"/>
      </w:tblGrid>
      <w:tr>
        <w:trPr>
          <w:tblHeader/>
        </w:trPr>
        <w:tc>
          <w:tcPr>
            <w:tcW w:type="dxa" w:w="1641"/>
            <w:tcBorders>
              <w:top w:val="single" w:color="BFC7D3" w:sz="4"/>
              <w:left w:val="single" w:color="BFC7D3" w:sz="4"/>
              <w:bottom w:val="single" w:color="BFC7D3" w:sz="4"/>
              <w:right w:val="single" w:color="BFC7D3" w:sz="4"/>
            </w:tcBorders>
            <w:shd w:fill="DCE4F5" w:color="auto" w:val="clear"/>
            <w:tcMar>
              <w:top w:type="dxa" w:w="60"/>
              <w:left w:type="dxa" w:w="100"/>
              <w:bottom w:type="dxa" w:w="60"/>
              <w:right w:type="dxa" w:w="100"/>
            </w:tcMar>
          </w:tcPr>
          <w:p>
            <w:r>
              <w:rPr>
                <w:b/>
                <w:bCs/>
                <w:sz w:val="19"/>
                <w:szCs w:val="19"/>
              </w:rPr>
              <w:t xml:space="preserve">구분</w:t>
            </w:r>
          </w:p>
        </w:tc>
        <w:tc>
          <w:tcPr>
            <w:tcW w:type="dxa" w:w="3999"/>
            <w:tcBorders>
              <w:top w:val="single" w:color="BFC7D3" w:sz="4"/>
              <w:left w:val="single" w:color="BFC7D3" w:sz="4"/>
              <w:bottom w:val="single" w:color="BFC7D3" w:sz="4"/>
              <w:right w:val="single" w:color="BFC7D3" w:sz="4"/>
            </w:tcBorders>
            <w:shd w:fill="DCE4F5" w:color="auto" w:val="clear"/>
            <w:tcMar>
              <w:top w:type="dxa" w:w="60"/>
              <w:left w:type="dxa" w:w="100"/>
              <w:bottom w:type="dxa" w:w="60"/>
              <w:right w:type="dxa" w:w="100"/>
            </w:tcMar>
          </w:tcPr>
          <w:p>
            <w:r>
              <w:rPr>
                <w:b/>
                <w:bCs/>
                <w:sz w:val="19"/>
                <w:szCs w:val="19"/>
              </w:rPr>
              <w:t xml:space="preserve">구 결정 (2004·2011)</w:t>
            </w:r>
          </w:p>
        </w:tc>
        <w:tc>
          <w:tcPr>
            <w:tcW w:type="dxa" w:w="3998"/>
            <w:tcBorders>
              <w:top w:val="single" w:color="BFC7D3" w:sz="4"/>
              <w:left w:val="single" w:color="BFC7D3" w:sz="4"/>
              <w:bottom w:val="single" w:color="BFC7D3" w:sz="4"/>
              <w:right w:val="single" w:color="BFC7D3" w:sz="4"/>
            </w:tcBorders>
            <w:shd w:fill="DCE4F5" w:color="auto" w:val="clear"/>
            <w:tcMar>
              <w:top w:type="dxa" w:w="60"/>
              <w:left w:type="dxa" w:w="100"/>
              <w:bottom w:type="dxa" w:w="60"/>
              <w:right w:type="dxa" w:w="100"/>
            </w:tcMar>
          </w:tcPr>
          <w:p>
            <w:r>
              <w:rPr>
                <w:b/>
                <w:bCs/>
                <w:sz w:val="19"/>
                <w:szCs w:val="19"/>
              </w:rPr>
              <w:t xml:space="preserve">신 결정 (2018)</w:t>
            </w:r>
          </w:p>
        </w:tc>
      </w:tr>
      <w:tr>
        <w:tc>
          <w:tcPr>
            <w:tcW w:type="dxa" w:w="1641"/>
            <w:tcBorders>
              <w:top w:val="single" w:color="BFC7D3" w:sz="4"/>
              <w:left w:val="single" w:color="BFC7D3" w:sz="4"/>
              <w:bottom w:val="single" w:color="BFC7D3" w:sz="4"/>
              <w:right w:val="single" w:color="BFC7D3" w:sz="4"/>
            </w:tcBorders>
            <w:shd w:fill="F3F5F8" w:color="auto" w:val="clear"/>
            <w:tcMar>
              <w:top w:type="dxa" w:w="60"/>
              <w:left w:type="dxa" w:w="100"/>
              <w:bottom w:type="dxa" w:w="60"/>
              <w:right w:type="dxa" w:w="100"/>
            </w:tcMar>
          </w:tcPr>
          <w:p>
            <w:r>
              <w:rPr>
                <w:sz w:val="19"/>
                <w:szCs w:val="19"/>
              </w:rPr>
              <w:t xml:space="preserve">사건</w:t>
            </w:r>
          </w:p>
        </w:tc>
        <w:tc>
          <w:tcPr>
            <w:tcW w:type="dxa" w:w="3999"/>
            <w:tcBorders>
              <w:top w:val="single" w:color="BFC7D3" w:sz="4"/>
              <w:left w:val="single" w:color="BFC7D3" w:sz="4"/>
              <w:bottom w:val="single" w:color="BFC7D3" w:sz="4"/>
              <w:right w:val="single" w:color="BFC7D3" w:sz="4"/>
            </w:tcBorders>
            <w:tcMar>
              <w:top w:type="dxa" w:w="60"/>
              <w:left w:type="dxa" w:w="100"/>
              <w:bottom w:type="dxa" w:w="60"/>
              <w:right w:type="dxa" w:w="100"/>
            </w:tcMar>
          </w:tcPr>
          <w:p>
            <w:r>
              <w:rPr>
                <w:sz w:val="19"/>
                <w:szCs w:val="19"/>
              </w:rPr>
              <w:t xml:space="preserve">헌재 2004. 8. 26. 2002헌가1</w:t>
            </w:r>
          </w:p>
          <w:p>
            <w:r>
              <w:rPr>
                <w:sz w:val="19"/>
                <w:szCs w:val="19"/>
              </w:rPr>
              <w:t xml:space="preserve">헌재 2011. 8. 30. 2008헌가22 등</w:t>
            </w:r>
          </w:p>
        </w:tc>
        <w:tc>
          <w:tcPr>
            <w:tcW w:type="dxa" w:w="3998"/>
            <w:tcBorders>
              <w:top w:val="single" w:color="BFC7D3" w:sz="4"/>
              <w:left w:val="single" w:color="BFC7D3" w:sz="4"/>
              <w:bottom w:val="single" w:color="BFC7D3" w:sz="4"/>
              <w:right w:val="single" w:color="BFC7D3" w:sz="4"/>
            </w:tcBorders>
            <w:tcMar>
              <w:top w:type="dxa" w:w="60"/>
              <w:left w:type="dxa" w:w="100"/>
              <w:bottom w:type="dxa" w:w="60"/>
              <w:right w:type="dxa" w:w="100"/>
            </w:tcMar>
          </w:tcPr>
          <w:p>
            <w:r>
              <w:rPr>
                <w:sz w:val="19"/>
                <w:szCs w:val="19"/>
              </w:rPr>
              <w:t xml:space="preserve">헌재 2018. 6. 28. 2011헌바379 등</w:t>
            </w:r>
          </w:p>
        </w:tc>
      </w:tr>
      <w:tr>
        <w:tc>
          <w:tcPr>
            <w:tcW w:type="dxa" w:w="1641"/>
            <w:tcBorders>
              <w:top w:val="single" w:color="BFC7D3" w:sz="4"/>
              <w:left w:val="single" w:color="BFC7D3" w:sz="4"/>
              <w:bottom w:val="single" w:color="BFC7D3" w:sz="4"/>
              <w:right w:val="single" w:color="BFC7D3" w:sz="4"/>
            </w:tcBorders>
            <w:shd w:fill="F3F5F8" w:color="auto" w:val="clear"/>
            <w:tcMar>
              <w:top w:type="dxa" w:w="60"/>
              <w:left w:type="dxa" w:w="100"/>
              <w:bottom w:type="dxa" w:w="60"/>
              <w:right w:type="dxa" w:w="100"/>
            </w:tcMar>
          </w:tcPr>
          <w:p>
            <w:r>
              <w:rPr>
                <w:sz w:val="19"/>
                <w:szCs w:val="19"/>
              </w:rPr>
              <w:t xml:space="preserve">심판대상</w:t>
            </w:r>
          </w:p>
        </w:tc>
        <w:tc>
          <w:tcPr>
            <w:tcW w:type="dxa" w:w="3999"/>
            <w:tcBorders>
              <w:top w:val="single" w:color="BFC7D3" w:sz="4"/>
              <w:left w:val="single" w:color="BFC7D3" w:sz="4"/>
              <w:bottom w:val="single" w:color="BFC7D3" w:sz="4"/>
              <w:right w:val="single" w:color="BFC7D3" w:sz="4"/>
            </w:tcBorders>
            <w:tcMar>
              <w:top w:type="dxa" w:w="60"/>
              <w:left w:type="dxa" w:w="100"/>
              <w:bottom w:type="dxa" w:w="60"/>
              <w:right w:type="dxa" w:w="100"/>
            </w:tcMar>
          </w:tcPr>
          <w:p>
            <w:r>
              <w:rPr>
                <w:sz w:val="19"/>
                <w:szCs w:val="19"/>
              </w:rPr>
              <w:t xml:space="preserve">처벌조항 (병역법 제88조 제1항)</w:t>
            </w:r>
          </w:p>
        </w:tc>
        <w:tc>
          <w:tcPr>
            <w:tcW w:type="dxa" w:w="3998"/>
            <w:tcBorders>
              <w:top w:val="single" w:color="BFC7D3" w:sz="4"/>
              <w:left w:val="single" w:color="BFC7D3" w:sz="4"/>
              <w:bottom w:val="single" w:color="BFC7D3" w:sz="4"/>
              <w:right w:val="single" w:color="BFC7D3" w:sz="4"/>
            </w:tcBorders>
            <w:tcMar>
              <w:top w:type="dxa" w:w="60"/>
              <w:left w:type="dxa" w:w="100"/>
              <w:bottom w:type="dxa" w:w="60"/>
              <w:right w:type="dxa" w:w="100"/>
            </w:tcMar>
          </w:tcPr>
          <w:p>
            <w:r>
              <w:rPr>
                <w:sz w:val="19"/>
                <w:szCs w:val="19"/>
              </w:rPr>
              <w:t xml:space="preserve">병역종류조항 (제5조 제1항) + 처벌조항</w:t>
            </w:r>
          </w:p>
        </w:tc>
      </w:tr>
      <w:tr>
        <w:tc>
          <w:tcPr>
            <w:tcW w:type="dxa" w:w="1641"/>
            <w:tcBorders>
              <w:top w:val="single" w:color="BFC7D3" w:sz="4"/>
              <w:left w:val="single" w:color="BFC7D3" w:sz="4"/>
              <w:bottom w:val="single" w:color="BFC7D3" w:sz="4"/>
              <w:right w:val="single" w:color="BFC7D3" w:sz="4"/>
            </w:tcBorders>
            <w:shd w:fill="F3F5F8" w:color="auto" w:val="clear"/>
            <w:tcMar>
              <w:top w:type="dxa" w:w="60"/>
              <w:left w:type="dxa" w:w="100"/>
              <w:bottom w:type="dxa" w:w="60"/>
              <w:right w:type="dxa" w:w="100"/>
            </w:tcMar>
          </w:tcPr>
          <w:p>
            <w:r>
              <w:rPr>
                <w:sz w:val="19"/>
                <w:szCs w:val="19"/>
              </w:rPr>
              <w:t xml:space="preserve">대체복무 문제의 위치</w:t>
            </w:r>
          </w:p>
        </w:tc>
        <w:tc>
          <w:tcPr>
            <w:tcW w:type="dxa" w:w="3999"/>
            <w:tcBorders>
              <w:top w:val="single" w:color="BFC7D3" w:sz="4"/>
              <w:left w:val="single" w:color="BFC7D3" w:sz="4"/>
              <w:bottom w:val="single" w:color="BFC7D3" w:sz="4"/>
              <w:right w:val="single" w:color="BFC7D3" w:sz="4"/>
            </w:tcBorders>
            <w:tcMar>
              <w:top w:type="dxa" w:w="60"/>
              <w:left w:type="dxa" w:w="100"/>
              <w:bottom w:type="dxa" w:w="60"/>
              <w:right w:type="dxa" w:w="100"/>
            </w:tcMar>
          </w:tcPr>
          <w:p>
            <w:r>
              <w:rPr>
                <w:sz w:val="19"/>
                <w:szCs w:val="19"/>
              </w:rPr>
              <w:t xml:space="preserve">처벌조항의 최소성 판단에서 "대안이 있는가"로 간접 판단</w:t>
            </w:r>
          </w:p>
        </w:tc>
        <w:tc>
          <w:tcPr>
            <w:tcW w:type="dxa" w:w="3998"/>
            <w:tcBorders>
              <w:top w:val="single" w:color="BFC7D3" w:sz="4"/>
              <w:left w:val="single" w:color="BFC7D3" w:sz="4"/>
              <w:bottom w:val="single" w:color="BFC7D3" w:sz="4"/>
              <w:right w:val="single" w:color="BFC7D3" w:sz="4"/>
            </w:tcBorders>
            <w:tcMar>
              <w:top w:type="dxa" w:w="60"/>
              <w:left w:type="dxa" w:w="100"/>
              <w:bottom w:type="dxa" w:w="60"/>
              <w:right w:type="dxa" w:w="100"/>
            </w:tcMar>
          </w:tcPr>
          <w:p>
            <w:r>
              <w:rPr>
                <w:sz w:val="19"/>
                <w:szCs w:val="19"/>
              </w:rPr>
              <w:t xml:space="preserve">병역종류조항의 부진정입법부작위로 직접 판단</w:t>
            </w:r>
          </w:p>
        </w:tc>
      </w:tr>
      <w:tr>
        <w:tc>
          <w:tcPr>
            <w:tcW w:type="dxa" w:w="1641"/>
            <w:tcBorders>
              <w:top w:val="single" w:color="BFC7D3" w:sz="4"/>
              <w:left w:val="single" w:color="BFC7D3" w:sz="4"/>
              <w:bottom w:val="single" w:color="BFC7D3" w:sz="4"/>
              <w:right w:val="single" w:color="BFC7D3" w:sz="4"/>
            </w:tcBorders>
            <w:shd w:fill="F3F5F8" w:color="auto" w:val="clear"/>
            <w:tcMar>
              <w:top w:type="dxa" w:w="60"/>
              <w:left w:type="dxa" w:w="100"/>
              <w:bottom w:type="dxa" w:w="60"/>
              <w:right w:type="dxa" w:w="100"/>
            </w:tcMar>
          </w:tcPr>
          <w:p>
            <w:r>
              <w:rPr>
                <w:sz w:val="19"/>
                <w:szCs w:val="19"/>
              </w:rPr>
              <w:t xml:space="preserve">양심의 자유 이해</w:t>
            </w:r>
          </w:p>
        </w:tc>
        <w:tc>
          <w:tcPr>
            <w:tcW w:type="dxa" w:w="3999"/>
            <w:tcBorders>
              <w:top w:val="single" w:color="BFC7D3" w:sz="4"/>
              <w:left w:val="single" w:color="BFC7D3" w:sz="4"/>
              <w:bottom w:val="single" w:color="BFC7D3" w:sz="4"/>
              <w:right w:val="single" w:color="BFC7D3" w:sz="4"/>
            </w:tcBorders>
            <w:tcMar>
              <w:top w:type="dxa" w:w="60"/>
              <w:left w:type="dxa" w:w="100"/>
              <w:bottom w:type="dxa" w:w="60"/>
              <w:right w:type="dxa" w:w="100"/>
            </w:tcMar>
          </w:tcPr>
          <w:p>
            <w:r>
              <w:rPr>
                <w:sz w:val="19"/>
                <w:szCs w:val="19"/>
              </w:rPr>
              <w:t xml:space="preserve">의무 면제·대체의무 요구권이 아니라 국가에 양심을 "고려"해 달라는 권리</w:t>
            </w:r>
          </w:p>
        </w:tc>
        <w:tc>
          <w:tcPr>
            <w:tcW w:type="dxa" w:w="3998"/>
            <w:tcBorders>
              <w:top w:val="single" w:color="BFC7D3" w:sz="4"/>
              <w:left w:val="single" w:color="BFC7D3" w:sz="4"/>
              <w:bottom w:val="single" w:color="BFC7D3" w:sz="4"/>
              <w:right w:val="single" w:color="BFC7D3" w:sz="4"/>
            </w:tcBorders>
            <w:tcMar>
              <w:top w:type="dxa" w:w="60"/>
              <w:left w:type="dxa" w:w="100"/>
              <w:bottom w:type="dxa" w:w="60"/>
              <w:right w:type="dxa" w:w="100"/>
            </w:tcMar>
          </w:tcPr>
          <w:p>
            <w:r>
              <w:rPr>
                <w:sz w:val="19"/>
                <w:szCs w:val="19"/>
              </w:rPr>
              <w:t xml:space="preserve">양심에 반하는 행동을 형벌로 강요하는 것은 인격적 존재가치를 무너뜨리는 중대한 제한</w:t>
            </w:r>
          </w:p>
        </w:tc>
      </w:tr>
      <w:tr>
        <w:tc>
          <w:tcPr>
            <w:tcW w:type="dxa" w:w="1641"/>
            <w:tcBorders>
              <w:top w:val="single" w:color="BFC7D3" w:sz="4"/>
              <w:left w:val="single" w:color="BFC7D3" w:sz="4"/>
              <w:bottom w:val="single" w:color="BFC7D3" w:sz="4"/>
              <w:right w:val="single" w:color="BFC7D3" w:sz="4"/>
            </w:tcBorders>
            <w:shd w:fill="F3F5F8" w:color="auto" w:val="clear"/>
            <w:tcMar>
              <w:top w:type="dxa" w:w="60"/>
              <w:left w:type="dxa" w:w="100"/>
              <w:bottom w:type="dxa" w:w="60"/>
              <w:right w:type="dxa" w:w="100"/>
            </w:tcMar>
          </w:tcPr>
          <w:p>
            <w:r>
              <w:rPr>
                <w:sz w:val="19"/>
                <w:szCs w:val="19"/>
              </w:rPr>
              <w:t xml:space="preserve">심사 강도</w:t>
            </w:r>
          </w:p>
        </w:tc>
        <w:tc>
          <w:tcPr>
            <w:tcW w:type="dxa" w:w="3999"/>
            <w:tcBorders>
              <w:top w:val="single" w:color="BFC7D3" w:sz="4"/>
              <w:left w:val="single" w:color="BFC7D3" w:sz="4"/>
              <w:bottom w:val="single" w:color="BFC7D3" w:sz="4"/>
              <w:right w:val="single" w:color="BFC7D3" w:sz="4"/>
            </w:tcBorders>
            <w:tcMar>
              <w:top w:type="dxa" w:w="60"/>
              <w:left w:type="dxa" w:w="100"/>
              <w:bottom w:type="dxa" w:w="60"/>
              <w:right w:type="dxa" w:w="100"/>
            </w:tcMar>
          </w:tcPr>
          <w:p>
            <w:r>
              <w:rPr>
                <w:sz w:val="19"/>
                <w:szCs w:val="19"/>
              </w:rPr>
              <w:t xml:space="preserve">넓은 입법재량 존중, 명백성 통제 (완화된 심사)</w:t>
            </w:r>
          </w:p>
        </w:tc>
        <w:tc>
          <w:tcPr>
            <w:tcW w:type="dxa" w:w="3998"/>
            <w:tcBorders>
              <w:top w:val="single" w:color="BFC7D3" w:sz="4"/>
              <w:left w:val="single" w:color="BFC7D3" w:sz="4"/>
              <w:bottom w:val="single" w:color="BFC7D3" w:sz="4"/>
              <w:right w:val="single" w:color="BFC7D3" w:sz="4"/>
            </w:tcBorders>
            <w:tcMar>
              <w:top w:type="dxa" w:w="60"/>
              <w:left w:type="dxa" w:w="100"/>
              <w:bottom w:type="dxa" w:w="60"/>
              <w:right w:type="dxa" w:w="100"/>
            </w:tcMar>
          </w:tcPr>
          <w:p>
            <w:r>
              <w:rPr>
                <w:sz w:val="19"/>
                <w:szCs w:val="19"/>
              </w:rPr>
              <w:t xml:space="preserve">엄격한 과잉금지 심사, 국가가 제한의 필요성을 정당화</w:t>
            </w:r>
          </w:p>
        </w:tc>
      </w:tr>
      <w:tr>
        <w:tc>
          <w:tcPr>
            <w:tcW w:type="dxa" w:w="1641"/>
            <w:tcBorders>
              <w:top w:val="single" w:color="BFC7D3" w:sz="4"/>
              <w:left w:val="single" w:color="BFC7D3" w:sz="4"/>
              <w:bottom w:val="single" w:color="BFC7D3" w:sz="4"/>
              <w:right w:val="single" w:color="BFC7D3" w:sz="4"/>
            </w:tcBorders>
            <w:shd w:fill="F3F5F8" w:color="auto" w:val="clear"/>
            <w:tcMar>
              <w:top w:type="dxa" w:w="60"/>
              <w:left w:type="dxa" w:w="100"/>
              <w:bottom w:type="dxa" w:w="60"/>
              <w:right w:type="dxa" w:w="100"/>
            </w:tcMar>
          </w:tcPr>
          <w:p>
            <w:r>
              <w:rPr>
                <w:sz w:val="19"/>
                <w:szCs w:val="19"/>
              </w:rPr>
              <w:t xml:space="preserve">목적·수단</w:t>
            </w:r>
          </w:p>
        </w:tc>
        <w:tc>
          <w:tcPr>
            <w:tcW w:type="dxa" w:w="3999"/>
            <w:tcBorders>
              <w:top w:val="single" w:color="BFC7D3" w:sz="4"/>
              <w:left w:val="single" w:color="BFC7D3" w:sz="4"/>
              <w:bottom w:val="single" w:color="BFC7D3" w:sz="4"/>
              <w:right w:val="single" w:color="BFC7D3" w:sz="4"/>
            </w:tcBorders>
            <w:tcMar>
              <w:top w:type="dxa" w:w="60"/>
              <w:left w:type="dxa" w:w="100"/>
              <w:bottom w:type="dxa" w:w="60"/>
              <w:right w:type="dxa" w:w="100"/>
            </w:tcMar>
          </w:tcPr>
          <w:p>
            <w:r>
              <w:rPr>
                <w:sz w:val="19"/>
                <w:szCs w:val="19"/>
              </w:rPr>
              <w:t xml:space="preserve">인정</w:t>
            </w:r>
          </w:p>
        </w:tc>
        <w:tc>
          <w:tcPr>
            <w:tcW w:type="dxa" w:w="3998"/>
            <w:tcBorders>
              <w:top w:val="single" w:color="BFC7D3" w:sz="4"/>
              <w:left w:val="single" w:color="BFC7D3" w:sz="4"/>
              <w:bottom w:val="single" w:color="BFC7D3" w:sz="4"/>
              <w:right w:val="single" w:color="BFC7D3" w:sz="4"/>
            </w:tcBorders>
            <w:tcMar>
              <w:top w:type="dxa" w:w="60"/>
              <w:left w:type="dxa" w:w="100"/>
              <w:bottom w:type="dxa" w:w="60"/>
              <w:right w:type="dxa" w:w="100"/>
            </w:tcMar>
          </w:tcPr>
          <w:p>
            <w:r>
              <w:rPr>
                <w:sz w:val="19"/>
                <w:szCs w:val="19"/>
              </w:rPr>
              <w:t xml:space="preserve">인정</w:t>
            </w:r>
          </w:p>
        </w:tc>
      </w:tr>
      <w:tr>
        <w:tc>
          <w:tcPr>
            <w:tcW w:type="dxa" w:w="1641"/>
            <w:tcBorders>
              <w:top w:val="single" w:color="BFC7D3" w:sz="4"/>
              <w:left w:val="single" w:color="BFC7D3" w:sz="4"/>
              <w:bottom w:val="single" w:color="BFC7D3" w:sz="4"/>
              <w:right w:val="single" w:color="BFC7D3" w:sz="4"/>
            </w:tcBorders>
            <w:shd w:fill="F3F5F8" w:color="auto" w:val="clear"/>
            <w:tcMar>
              <w:top w:type="dxa" w:w="60"/>
              <w:left w:type="dxa" w:w="100"/>
              <w:bottom w:type="dxa" w:w="60"/>
              <w:right w:type="dxa" w:w="100"/>
            </w:tcMar>
          </w:tcPr>
          <w:p>
            <w:r>
              <w:rPr>
                <w:sz w:val="19"/>
                <w:szCs w:val="19"/>
              </w:rPr>
              <w:t xml:space="preserve">침해의 최소성</w:t>
            </w:r>
          </w:p>
        </w:tc>
        <w:tc>
          <w:tcPr>
            <w:tcW w:type="dxa" w:w="3999"/>
            <w:tcBorders>
              <w:top w:val="single" w:color="BFC7D3" w:sz="4"/>
              <w:left w:val="single" w:color="BFC7D3" w:sz="4"/>
              <w:bottom w:val="single" w:color="BFC7D3" w:sz="4"/>
              <w:right w:val="single" w:color="BFC7D3" w:sz="4"/>
            </w:tcBorders>
            <w:tcMar>
              <w:top w:type="dxa" w:w="60"/>
              <w:left w:type="dxa" w:w="100"/>
              <w:bottom w:type="dxa" w:w="60"/>
              <w:right w:type="dxa" w:w="100"/>
            </w:tcMar>
          </w:tcPr>
          <w:p>
            <w:r>
              <w:rPr>
                <w:sz w:val="19"/>
                <w:szCs w:val="19"/>
              </w:rPr>
              <w:t xml:space="preserve">남북 대치, 병력 손실, 양심 판정 곤란·위장 거부, 형평성·공감대 부족 → 대안의 효과 불확실 → </w:t>
            </w:r>
            <w:r>
              <w:rPr>
                <w:sz w:val="19"/>
                <w:szCs w:val="19"/>
              </w:rPr>
              <w:t xml:space="preserve">충족</w:t>
            </w:r>
          </w:p>
        </w:tc>
        <w:tc>
          <w:tcPr>
            <w:tcW w:type="dxa" w:w="3998"/>
            <w:tcBorders>
              <w:top w:val="single" w:color="BFC7D3" w:sz="4"/>
              <w:left w:val="single" w:color="BFC7D3" w:sz="4"/>
              <w:bottom w:val="single" w:color="BFC7D3" w:sz="4"/>
              <w:right w:val="single" w:color="BFC7D3" w:sz="4"/>
            </w:tcBorders>
            <w:tcMar>
              <w:top w:type="dxa" w:w="60"/>
              <w:left w:type="dxa" w:w="100"/>
              <w:bottom w:type="dxa" w:w="60"/>
              <w:right w:type="dxa" w:w="100"/>
            </w:tcMar>
          </w:tcPr>
          <w:p>
            <w:r>
              <w:rPr>
                <w:sz w:val="19"/>
                <w:szCs w:val="19"/>
              </w:rPr>
              <w:t xml:space="preserve">거부자 연 수백 명·어차피 수감, 엄격 심사·무거운 복무로 위장 방지, 형평 확보 가능, 국제적 흐름 → 대안 있음 → </w:t>
            </w:r>
            <w:r>
              <w:rPr>
                <w:sz w:val="19"/>
                <w:szCs w:val="19"/>
              </w:rPr>
              <w:t xml:space="preserve">위반</w:t>
            </w:r>
          </w:p>
        </w:tc>
      </w:tr>
      <w:tr>
        <w:tc>
          <w:tcPr>
            <w:tcW w:type="dxa" w:w="1641"/>
            <w:tcBorders>
              <w:top w:val="single" w:color="BFC7D3" w:sz="4"/>
              <w:left w:val="single" w:color="BFC7D3" w:sz="4"/>
              <w:bottom w:val="single" w:color="BFC7D3" w:sz="4"/>
              <w:right w:val="single" w:color="BFC7D3" w:sz="4"/>
            </w:tcBorders>
            <w:shd w:fill="F3F5F8" w:color="auto" w:val="clear"/>
            <w:tcMar>
              <w:top w:type="dxa" w:w="60"/>
              <w:left w:type="dxa" w:w="100"/>
              <w:bottom w:type="dxa" w:w="60"/>
              <w:right w:type="dxa" w:w="100"/>
            </w:tcMar>
          </w:tcPr>
          <w:p>
            <w:r>
              <w:rPr>
                <w:sz w:val="19"/>
                <w:szCs w:val="19"/>
              </w:rPr>
              <w:t xml:space="preserve">법익의 균형성</w:t>
            </w:r>
          </w:p>
        </w:tc>
        <w:tc>
          <w:tcPr>
            <w:tcW w:type="dxa" w:w="3999"/>
            <w:tcBorders>
              <w:top w:val="single" w:color="BFC7D3" w:sz="4"/>
              <w:left w:val="single" w:color="BFC7D3" w:sz="4"/>
              <w:bottom w:val="single" w:color="BFC7D3" w:sz="4"/>
              <w:right w:val="single" w:color="BFC7D3" w:sz="4"/>
            </w:tcBorders>
            <w:tcMar>
              <w:top w:type="dxa" w:w="60"/>
              <w:left w:type="dxa" w:w="100"/>
              <w:bottom w:type="dxa" w:w="60"/>
              <w:right w:type="dxa" w:w="100"/>
            </w:tcMar>
          </w:tcPr>
          <w:p>
            <w:r>
              <w:rPr>
                <w:sz w:val="19"/>
                <w:szCs w:val="19"/>
              </w:rPr>
              <w:t xml:space="preserve">국가안보의 중대성이 압도 → </w:t>
            </w:r>
            <w:r>
              <w:rPr>
                <w:sz w:val="19"/>
                <w:szCs w:val="19"/>
              </w:rPr>
              <w:t xml:space="preserve">충족</w:t>
            </w:r>
          </w:p>
        </w:tc>
        <w:tc>
          <w:tcPr>
            <w:tcW w:type="dxa" w:w="3998"/>
            <w:tcBorders>
              <w:top w:val="single" w:color="BFC7D3" w:sz="4"/>
              <w:left w:val="single" w:color="BFC7D3" w:sz="4"/>
              <w:bottom w:val="single" w:color="BFC7D3" w:sz="4"/>
              <w:right w:val="single" w:color="BFC7D3" w:sz="4"/>
            </w:tcBorders>
            <w:tcMar>
              <w:top w:type="dxa" w:w="60"/>
              <w:left w:type="dxa" w:w="100"/>
              <w:bottom w:type="dxa" w:w="60"/>
              <w:right w:type="dxa" w:w="100"/>
            </w:tcMar>
          </w:tcPr>
          <w:p>
            <w:r>
              <w:rPr>
                <w:sz w:val="19"/>
                <w:szCs w:val="19"/>
              </w:rPr>
              <w:t xml:space="preserve">공익은 대체복무로 달성 가능, 형사처벌·전과·취업 제한 불이익 심대 → </w:t>
            </w:r>
            <w:r>
              <w:rPr>
                <w:sz w:val="19"/>
                <w:szCs w:val="19"/>
              </w:rPr>
              <w:t xml:space="preserve">위반</w:t>
            </w:r>
          </w:p>
        </w:tc>
      </w:tr>
      <w:tr>
        <w:tc>
          <w:tcPr>
            <w:tcW w:type="dxa" w:w="1641"/>
            <w:tcBorders>
              <w:top w:val="single" w:color="BFC7D3" w:sz="4"/>
              <w:left w:val="single" w:color="BFC7D3" w:sz="4"/>
              <w:bottom w:val="single" w:color="BFC7D3" w:sz="4"/>
              <w:right w:val="single" w:color="BFC7D3" w:sz="4"/>
            </w:tcBorders>
            <w:shd w:fill="F3F5F8" w:color="auto" w:val="clear"/>
            <w:tcMar>
              <w:top w:type="dxa" w:w="60"/>
              <w:left w:type="dxa" w:w="100"/>
              <w:bottom w:type="dxa" w:w="60"/>
              <w:right w:type="dxa" w:w="100"/>
            </w:tcMar>
          </w:tcPr>
          <w:p>
            <w:r>
              <w:rPr>
                <w:sz w:val="19"/>
                <w:szCs w:val="19"/>
              </w:rPr>
              <w:t xml:space="preserve">형량 모델</w:t>
            </w:r>
          </w:p>
        </w:tc>
        <w:tc>
          <w:tcPr>
            <w:tcW w:type="dxa" w:w="3999"/>
            <w:tcBorders>
              <w:top w:val="single" w:color="BFC7D3" w:sz="4"/>
              <w:left w:val="single" w:color="BFC7D3" w:sz="4"/>
              <w:bottom w:val="single" w:color="BFC7D3" w:sz="4"/>
              <w:right w:val="single" w:color="BFC7D3" w:sz="4"/>
            </w:tcBorders>
            <w:tcMar>
              <w:top w:type="dxa" w:w="60"/>
              <w:left w:type="dxa" w:w="100"/>
              <w:bottom w:type="dxa" w:w="60"/>
              <w:right w:type="dxa" w:w="100"/>
            </w:tcMar>
          </w:tcPr>
          <w:p>
            <w:r>
              <w:rPr>
                <w:sz w:val="19"/>
                <w:szCs w:val="19"/>
              </w:rPr>
              <w:t xml:space="preserve">양자택일 (양심 vs 안보)</w:t>
            </w:r>
          </w:p>
        </w:tc>
        <w:tc>
          <w:tcPr>
            <w:tcW w:type="dxa" w:w="3998"/>
            <w:tcBorders>
              <w:top w:val="single" w:color="BFC7D3" w:sz="4"/>
              <w:left w:val="single" w:color="BFC7D3" w:sz="4"/>
              <w:bottom w:val="single" w:color="BFC7D3" w:sz="4"/>
              <w:right w:val="single" w:color="BFC7D3" w:sz="4"/>
            </w:tcBorders>
            <w:tcMar>
              <w:top w:type="dxa" w:w="60"/>
              <w:left w:type="dxa" w:w="100"/>
              <w:bottom w:type="dxa" w:w="60"/>
              <w:right w:type="dxa" w:w="100"/>
            </w:tcMar>
          </w:tcPr>
          <w:p>
            <w:r>
              <w:rPr>
                <w:sz w:val="19"/>
                <w:szCs w:val="19"/>
              </w:rPr>
              <w:t xml:space="preserve">조화 (대체복무로 두 법익 공존)</w:t>
            </w:r>
          </w:p>
        </w:tc>
      </w:tr>
      <w:tr>
        <w:tc>
          <w:tcPr>
            <w:tcW w:type="dxa" w:w="1641"/>
            <w:tcBorders>
              <w:top w:val="single" w:color="BFC7D3" w:sz="4"/>
              <w:left w:val="single" w:color="BFC7D3" w:sz="4"/>
              <w:bottom w:val="single" w:color="BFC7D3" w:sz="4"/>
              <w:right w:val="single" w:color="BFC7D3" w:sz="4"/>
            </w:tcBorders>
            <w:shd w:fill="F3F5F8" w:color="auto" w:val="clear"/>
            <w:tcMar>
              <w:top w:type="dxa" w:w="60"/>
              <w:left w:type="dxa" w:w="100"/>
              <w:bottom w:type="dxa" w:w="60"/>
              <w:right w:type="dxa" w:w="100"/>
            </w:tcMar>
          </w:tcPr>
          <w:p>
            <w:r>
              <w:rPr>
                <w:sz w:val="19"/>
                <w:szCs w:val="19"/>
              </w:rPr>
              <w:t xml:space="preserve">결론</w:t>
            </w:r>
          </w:p>
        </w:tc>
        <w:tc>
          <w:tcPr>
            <w:tcW w:type="dxa" w:w="3999"/>
            <w:tcBorders>
              <w:top w:val="single" w:color="BFC7D3" w:sz="4"/>
              <w:left w:val="single" w:color="BFC7D3" w:sz="4"/>
              <w:bottom w:val="single" w:color="BFC7D3" w:sz="4"/>
              <w:right w:val="single" w:color="BFC7D3" w:sz="4"/>
            </w:tcBorders>
            <w:tcMar>
              <w:top w:type="dxa" w:w="60"/>
              <w:left w:type="dxa" w:w="100"/>
              <w:bottom w:type="dxa" w:w="60"/>
              <w:right w:type="dxa" w:w="100"/>
            </w:tcMar>
          </w:tcPr>
          <w:p>
            <w:r>
              <w:rPr>
                <w:sz w:val="19"/>
                <w:szCs w:val="19"/>
              </w:rPr>
              <w:t xml:space="preserve">합헌 (2004년 7:2), 대체복무 도입 검토 "권고"</w:t>
            </w:r>
          </w:p>
        </w:tc>
        <w:tc>
          <w:tcPr>
            <w:tcW w:type="dxa" w:w="3998"/>
            <w:tcBorders>
              <w:top w:val="single" w:color="BFC7D3" w:sz="4"/>
              <w:left w:val="single" w:color="BFC7D3" w:sz="4"/>
              <w:bottom w:val="single" w:color="BFC7D3" w:sz="4"/>
              <w:right w:val="single" w:color="BFC7D3" w:sz="4"/>
            </w:tcBorders>
            <w:tcMar>
              <w:top w:type="dxa" w:w="60"/>
              <w:left w:type="dxa" w:w="100"/>
              <w:bottom w:type="dxa" w:w="60"/>
              <w:right w:type="dxa" w:w="100"/>
            </w:tcMar>
          </w:tcPr>
          <w:p>
            <w:r>
              <w:rPr>
                <w:sz w:val="19"/>
                <w:szCs w:val="19"/>
              </w:rPr>
              <w:t xml:space="preserve">병역종류조항 헌법불합치 (6:3, 2019. 12. 31. 시한)</w:t>
            </w:r>
          </w:p>
          <w:p>
            <w:r>
              <w:rPr>
                <w:sz w:val="19"/>
                <w:szCs w:val="19"/>
              </w:rPr>
              <w:t xml:space="preserve">처벌조항 합헌 (4:4:1)</w:t>
            </w:r>
          </w:p>
        </w:tc>
      </w:tr>
      <w:tr>
        <w:tc>
          <w:tcPr>
            <w:tcW w:type="dxa" w:w="1641"/>
            <w:tcBorders>
              <w:top w:val="single" w:color="BFC7D3" w:sz="4"/>
              <w:left w:val="single" w:color="BFC7D3" w:sz="4"/>
              <w:bottom w:val="single" w:color="BFC7D3" w:sz="4"/>
              <w:right w:val="single" w:color="BFC7D3" w:sz="4"/>
            </w:tcBorders>
            <w:shd w:fill="F3F5F8" w:color="auto" w:val="clear"/>
            <w:tcMar>
              <w:top w:type="dxa" w:w="60"/>
              <w:left w:type="dxa" w:w="100"/>
              <w:bottom w:type="dxa" w:w="60"/>
              <w:right w:type="dxa" w:w="100"/>
            </w:tcMar>
          </w:tcPr>
          <w:p>
            <w:r>
              <w:rPr>
                <w:sz w:val="19"/>
                <w:szCs w:val="19"/>
              </w:rPr>
              <w:t xml:space="preserve">후속</w:t>
            </w:r>
          </w:p>
        </w:tc>
        <w:tc>
          <w:tcPr>
            <w:tcW w:type="dxa" w:w="3999"/>
            <w:tcBorders>
              <w:top w:val="single" w:color="BFC7D3" w:sz="4"/>
              <w:left w:val="single" w:color="BFC7D3" w:sz="4"/>
              <w:bottom w:val="single" w:color="BFC7D3" w:sz="4"/>
              <w:right w:val="single" w:color="BFC7D3" w:sz="4"/>
            </w:tcBorders>
            <w:tcMar>
              <w:top w:type="dxa" w:w="60"/>
              <w:left w:type="dxa" w:w="100"/>
              <w:bottom w:type="dxa" w:w="60"/>
              <w:right w:type="dxa" w:w="100"/>
            </w:tcMar>
          </w:tcPr>
          <w:p>
            <w:r>
              <w:rPr>
                <w:sz w:val="19"/>
                <w:szCs w:val="19"/>
              </w:rPr>
              <w:t xml:space="preserve">대체복무 도입 지연</w:t>
            </w:r>
          </w:p>
        </w:tc>
        <w:tc>
          <w:tcPr>
            <w:tcW w:type="dxa" w:w="3998"/>
            <w:tcBorders>
              <w:top w:val="single" w:color="BFC7D3" w:sz="4"/>
              <w:left w:val="single" w:color="BFC7D3" w:sz="4"/>
              <w:bottom w:val="single" w:color="BFC7D3" w:sz="4"/>
              <w:right w:val="single" w:color="BFC7D3" w:sz="4"/>
            </w:tcBorders>
            <w:tcMar>
              <w:top w:type="dxa" w:w="60"/>
              <w:left w:type="dxa" w:w="100"/>
              <w:bottom w:type="dxa" w:w="60"/>
              <w:right w:type="dxa" w:w="100"/>
            </w:tcMar>
          </w:tcPr>
          <w:p>
            <w:r>
              <w:rPr>
                <w:sz w:val="19"/>
                <w:szCs w:val="19"/>
              </w:rPr>
              <w:t xml:space="preserve">대법원 2016도10912 전합 무죄 / 대체역법(2019) / 2020년부터 36개월 대체복무</w:t>
            </w:r>
          </w:p>
        </w:tc>
      </w:tr>
    </w:tbl>
    <w:p>
      <w:pPr>
        <w:spacing w:after="120"/>
      </w:pPr>
    </w:p>
    <w:p>
      <w:pPr>
        <w:spacing w:after="60" w:before="140"/>
      </w:pPr>
      <w:r>
        <w:rPr>
          <w:b/>
          <w:bCs/>
          <w:color w:val="18202B"/>
        </w:rPr>
        <w:t xml:space="preserve">1. 심판대상과 위헌성의 위치가 바뀌었다</w:t>
      </w:r>
    </w:p>
    <w:p>
      <w:pPr>
        <w:spacing w:after="120" w:line="340"/>
        <w:ind w:firstLine="220"/>
        <w:jc w:val="both"/>
      </w:pPr>
      <w:r>
        <w:t xml:space="preserve">구 결정은 처벌조항만 보았기 때문에 '대안이 없다'는 사실이 오히려 처벌을 정당화하는 사정으로 작용하였다. 신 결정은 시선을 병역종류조항으로 옮겨, 문제의 본질이 '처벌'이 아니라 </w:t>
      </w:r>
      <w:r>
        <w:rPr>
          <w:b/>
          <w:bCs/>
        </w:rPr>
        <w:t xml:space="preserve">'대안 없는 입법'</w:t>
      </w:r>
      <w:r>
        <w:t xml:space="preserve">에 있음을 밝혔다. 그 결과 처벌조항은 합헌으로 두되 병역종류조항을 헌법불합치로 결정하여, 입법자에게 대체복무제를 만들 </w:t>
      </w:r>
      <w:r>
        <w:rPr>
          <w:b/>
          <w:bCs/>
        </w:rPr>
        <w:t xml:space="preserve">헌법적 의무</w:t>
      </w:r>
      <w:r>
        <w:t xml:space="preserve">를 지웠다. 2004년의 '권고'가 '명령'으로 바뀐 것이다.</w:t>
      </w:r>
    </w:p>
    <w:p>
      <w:pPr>
        <w:spacing w:after="60" w:before="140"/>
      </w:pPr>
      <w:r>
        <w:rPr>
          <w:b/>
          <w:bCs/>
          <w:color w:val="18202B"/>
        </w:rPr>
        <w:t xml:space="preserve">2. 심사 강도와 입증 부담의 방향이 바뀌었다</w:t>
      </w:r>
    </w:p>
    <w:p>
      <w:pPr>
        <w:spacing w:after="120" w:line="340"/>
        <w:ind w:firstLine="220"/>
        <w:jc w:val="both"/>
      </w:pPr>
      <w:r>
        <w:t xml:space="preserve">구 결정은 대체복무제를 도입해도 안보에 지장이 없다는 점이 증명되지 않았다는 이유로 입법자의 판단을 존중하였다. </w:t>
      </w:r>
      <w:r>
        <w:rPr>
          <w:b/>
          <w:bCs/>
        </w:rPr>
        <w:t xml:space="preserve">불확실성의 부담을 기본권 주체에게</w:t>
      </w:r>
      <w:r>
        <w:t xml:space="preserve"> 지운 것이다. 신 결정은 병역거부자의 수, 수감되어 병력으로 쓰이지 않는 현실, 해외 사례 같은 구체적 사실을 근거로 대체복무제가 안보를 해친다는 근거가 없다고 판단하였다. 기본권을 제한하는 </w:t>
      </w:r>
      <w:r>
        <w:rPr>
          <w:b/>
          <w:bCs/>
        </w:rPr>
        <w:t xml:space="preserve">국가가 그 필요성을 정당화해야 한다</w:t>
      </w:r>
      <w:r>
        <w:t xml:space="preserve">는 과잉금지원칙의 본래 취지에 더 충실해진 것이다.</w:t>
      </w:r>
    </w:p>
    <w:p>
      <w:pPr>
        <w:spacing w:after="60" w:before="140"/>
      </w:pPr>
      <w:r>
        <w:rPr>
          <w:b/>
          <w:bCs/>
          <w:color w:val="18202B"/>
        </w:rPr>
        <w:t xml:space="preserve">3. 이익형량의 모델이 '양자택일'에서 '조화'로 바뀌었다</w:t>
      </w:r>
    </w:p>
    <w:p>
      <w:pPr>
        <w:spacing w:after="120" w:line="340"/>
        <w:ind w:firstLine="220"/>
        <w:jc w:val="both"/>
      </w:pPr>
      <w:r>
        <w:t xml:space="preserve">구 결정은 양심의 자유와 국가안보를 둘 중 하나를 골라야 하는 관계로 보았고, 그 결과 국가안보라는 공익이 우선하였다. 신 결정은 대체복무라는 </w:t>
      </w:r>
      <w:r>
        <w:rPr>
          <w:b/>
          <w:bCs/>
        </w:rPr>
        <w:t xml:space="preserve">제3의 길</w:t>
      </w:r>
      <w:r>
        <w:t xml:space="preserve">로 두 법익을 함께 실현할 수 있다고 보았다. 수업에서 다룬 공익과 사익의 형량 틀로 말하면, 공익을 이유로 사익을 제한하더라도 그 수단은 필요 최소한에 그쳐야 하고, 충돌하는 법익이 모두 최대한 실현되도록 조화를 찾아야 한다는 사고(규범조화적 해결)가 판단의 중심에 놓였다. 대체복무는 병역의무의 </w:t>
      </w:r>
      <w:r>
        <w:rPr>
          <w:b/>
          <w:bCs/>
        </w:rPr>
        <w:t xml:space="preserve">면제가 아니라 이행 방식의 다양화</w:t>
      </w:r>
      <w:r>
        <w:t xml:space="preserve">이므로, 국방의 의무라는 공익을 포기하지 않으면서 소수자의 양심을 보호한다.</w:t>
      </w:r>
    </w:p>
    <w:p>
      <w:pPr>
        <w:spacing w:after="60" w:before="140"/>
      </w:pPr>
      <w:r>
        <w:rPr>
          <w:b/>
          <w:bCs/>
          <w:color w:val="18202B"/>
        </w:rPr>
        <w:t xml:space="preserve">4. 양심의 자유에 대한 이해가 깊어졌다</w:t>
      </w:r>
    </w:p>
    <w:p>
      <w:pPr>
        <w:spacing w:after="120" w:line="340"/>
        <w:ind w:firstLine="220"/>
        <w:jc w:val="both"/>
      </w:pPr>
      <w:r>
        <w:t xml:space="preserve">구 결정은 양심의 자유를 국가에 '고려'를 요청하는 권리 정도로 좁게 보았다. 신 결정은 양심에 반하는 행동을 형벌로 강요하는 것이 인격의 존재가치를 무너뜨리는 중대한 제한임을 정면으로 인정하고, 국가가 양심을 보호할 대안을 마련하지 않은 것 자체를 기본권 침해로 보았다.</w:t>
      </w:r>
    </w:p>
    <w:p>
      <w:pPr>
        <w:spacing w:after="60" w:before="140"/>
      </w:pPr>
      <w:r>
        <w:rPr>
          <w:b/>
          <w:bCs/>
          <w:color w:val="18202B"/>
        </w:rPr>
        <w:t xml:space="preserve">5. 변화의 배경</w:t>
      </w:r>
    </w:p>
    <w:p>
      <w:pPr>
        <w:spacing w:after="120" w:line="340"/>
        <w:ind w:firstLine="220"/>
        <w:jc w:val="both"/>
      </w:pPr>
      <w:r>
        <w:t xml:space="preserve">이 전환은 헌법재판소가 사회의 변화를 헌법 해석에 반영한 결과다. 양심적 병역거부에 대한 국민 인식의 변화, 하급심 무죄 판결의 증가, 유엔 자유권규약위원회가 2006년 이후 한국의 처벌을 규약 위반으로 판단해 온 국제인권규범의 흐름, 병역자원 구조와 국방 환경의 변화가 함께 작용하였다. 수업에서 다룬 </w:t>
      </w:r>
      <w:r>
        <w:rPr>
          <w:b/>
          <w:bCs/>
        </w:rPr>
        <w:t xml:space="preserve">간통죄</w:t>
      </w:r>
      <w:r>
        <w:t xml:space="preserve">가 네 차례 합헌 결정 뒤 2015년 위헌으로 바뀐 것처럼(헌재 2015. 2. 26. 2009헌바17), 같은 헌법 조문도 공동체의 가치와 사실관계가 바뀌면 다르게 해석될 수 있다.</w:t>
      </w:r>
    </w:p>
    <w:p>
      <w:pPr>
        <w:pStyle w:val="Heading3"/>
      </w:pPr>
      <w:r>
        <w:t xml:space="preserve">Ⅵ. 결론과 평가</w:t>
      </w:r>
    </w:p>
    <w:p>
      <w:pPr>
        <w:spacing w:after="120" w:line="340"/>
        <w:ind w:firstLine="220"/>
        <w:jc w:val="both"/>
      </w:pPr>
      <w:r>
        <w:t xml:space="preserve">신 결정은 다수의 안보 논리 앞에서 </w:t>
      </w:r>
      <w:r>
        <w:rPr>
          <w:b/>
          <w:bCs/>
        </w:rPr>
        <w:t xml:space="preserve">소수자의 양심이 갖는 헌법적 무게</w:t>
      </w:r>
      <w:r>
        <w:t xml:space="preserve">를 인정하고, 형벌이라는 가장 강한 제재를 대체복무라는 덜 침해적인 수단으로 바꾸라고 요구했다는 점에서 기본권 보장의 진전으로 평가할 수 있다. 이는 헌법 제10조 인간의 존엄과 제19조 양심의 자유를 실질화하고, </w:t>
      </w:r>
      <w:r>
        <w:rPr>
          <w:b/>
          <w:bCs/>
        </w:rPr>
        <w:t xml:space="preserve">관용</w:t>
      </w:r>
      <w:r>
        <w:t xml:space="preserve">을 헌법적 원리로 받아들인 결정이다. 다만 현행 대체복무는 현역 육군(18개월)의 두 배인 36개월을 교정시설에서 합숙하도록 하고 있어 징벌적이라는 비판이 있다. 대체복무가 신 결정의 취지에 맞으려면, 위장 거부를 막을 만큼 엄격하되 처벌과 다름없을 만큼 가혹하지는 않은 </w:t>
      </w:r>
      <w:r>
        <w:rPr>
          <w:b/>
          <w:bCs/>
        </w:rPr>
        <w:t xml:space="preserve">실질적 등가성</w:t>
      </w:r>
      <w:r>
        <w:t xml:space="preserve">을 갖추고 복무 분야를 다양화해야 할 것이다.</w:t>
      </w:r>
    </w:p>
    <w:p>
      <w:pPr>
        <w:pStyle w:val="Heading2"/>
      </w:pPr>
      <w:r>
        <w:t xml:space="preserve">압축 답안 (시간이 부족할 때)</w:t>
      </w:r>
    </w:p>
    <w:p>
      <w:pPr>
        <w:spacing w:after="120" w:line="340"/>
        <w:ind w:firstLine="220"/>
        <w:jc w:val="both"/>
      </w:pPr>
      <w:r>
        <w:rPr>
          <w:b/>
          <w:bCs/>
        </w:rPr>
        <w:t xml:space="preserve">구 결정</w:t>
      </w:r>
      <w:r>
        <w:t xml:space="preserve">(헌재 2004. 8. 26. 2002헌가1, 2011. 8. 30. 2008헌가22 등)은 처벌조항을 심판대상으로, 양심의 자유를 의무 면제나 대체복무를 요구할 권리가 아닌 국가에 양심의 '고려'를 요청하는 권리로 좁게 보고, 국가안보 분야의 넓은 입법재량을 이유로 완화된 심사를 하였다. 목적의 정당성과 수단의 적합성을 인정한 뒤, 침해의 최소성에서는 남북 대치, 병력 손실, 양심 판정의 어려움과 위장 거부, 형평성·사회적 공감대 부족을 들어 대체복무가 같은 효과를 보장하지 못한다고 보아 충족, 법익균형성도 국가안보의 중대성을 이유로 충족한다고 하여 </w:t>
      </w:r>
      <w:r>
        <w:rPr>
          <w:b/>
          <w:bCs/>
        </w:rPr>
        <w:t xml:space="preserve">합헌</w:t>
      </w:r>
      <w:r>
        <w:t xml:space="preserve">으로 결정하였다(2004년은 대체복무 검토 권고). </w:t>
      </w:r>
      <w:r>
        <w:rPr>
          <w:b/>
          <w:bCs/>
        </w:rPr>
        <w:t xml:space="preserve">신 결정</w:t>
      </w:r>
      <w:r>
        <w:t xml:space="preserve">(헌재 2018. 6. 28. 2011헌바379 등)은 병역종류조항을 부진정입법부작위로 직접 심사하였다. 목적과 수단은 인정했으나, 모든 병역이 군사훈련을 전제하는 상황에서 병역거부자는 연 수백 명에 불과하고 어차피 수감되어 병력이 되지 않으며, 엄격한 심사와 현역보다 무거운 복무로 위장을 막고 형평을 확보할 수 있고, 국제적 흐름도 대체복무를 인정하므로, 덜 침해적인 대안이 있는데도 두지 않아 최소성에 위반되고, 공익은 대체복무로도 달성할 수 있는 반면 형사처벌·전과·취업 제한 등 불이익은 심대하여 균형성도 잃었다고 보아 </w:t>
      </w:r>
      <w:r>
        <w:rPr>
          <w:b/>
          <w:bCs/>
        </w:rPr>
        <w:t xml:space="preserve">헌법불합치</w:t>
      </w:r>
      <w:r>
        <w:t xml:space="preserve">(6:3, 2019. 12. 31. 시한)를 선고하였다. 처벌조항은 합헌(4:4:1)으로 유지되었다. 두 결정은 ① 심판대상과 위헌성의 위치(처벌 → 대안 없는 입법), ② 심사 강도와 입증 부담(입법재량 존중 → 국가의 정당화 책임), ③ 형량 모델(양자택일 → 조화), ④ 결론(권고 → 입법 명령)에서 달라졌다. 이후 대법원 전원합의체(2016도10912)가 양심적 병역거부를 '정당한 사유'로 보아 무죄를 선고하고, 대체역법(2019) 제정으로 36개월 대체복무가 도입되었다.</w:t>
      </w:r>
    </w:p>
    <w:p>
      <w:pPr>
        <w:pBdr>
          <w:left w:val="single" w:color="1F3F8F" w:sz="18" w:space="8"/>
        </w:pBdr>
        <w:shd w:fill="E3E9F7" w:color="auto" w:val="clear"/>
        <w:spacing w:after="0" w:before="120"/>
        <w:ind w:left="160" w:right="160"/>
      </w:pPr>
      <w:r>
        <w:rPr>
          <w:b/>
          <w:bCs/>
          <w:color w:val="1F3F8F"/>
        </w:rPr>
        <w:t xml:space="preserve">핵심 키워드</w:t>
      </w:r>
    </w:p>
    <w:p>
      <w:pPr>
        <w:pBdr>
          <w:left w:val="single" w:color="1F3F8F" w:sz="18" w:space="8"/>
        </w:pBdr>
        <w:shd w:fill="E3E9F7" w:color="auto" w:val="clear"/>
        <w:spacing w:after="160"/>
        <w:ind w:left="160" w:right="160"/>
      </w:pPr>
      <w:r>
        <w:t xml:space="preserve">양심의 정의("인격적 존재가치가 허물어지고 말 것이라는 강력하고 진지한 마음의 소리") · 양심형성/양심실현의 자유 · 부작위에 의한 양심실현의 자유 · 헌법 제37조 제2항 과잉금지 4요소 · 명백성 통제 vs 엄격 심사 · 부진정입법부작위 · 병역자원 손실 반박(연 수백 명, 어차피 수감) · 위장 거부 방지(엄격 심사, 무거운 복무) · 헌법불합치 6:3 · 처벌조항 합헌 4:4:1 · 2016도10912 전합 · 대체역법 36개월 · 양자택일 → 조화 · 권고 → 명령</w:t>
      </w:r>
    </w:p>
    <w:p>
      <w:pPr>
        <w:pStyle w:val="Heading1"/>
        <w:pageBreakBefore/>
      </w:pPr>
      <w:r>
        <w:t xml:space="preserve">문제 3. 공법관계와 사법관계</w:t>
      </w:r>
    </w:p>
    <w:p>
      <w:pPr>
        <w:pBdr>
          <w:left w:val="single" w:color="5A6575" w:sz="18" w:space="8"/>
        </w:pBdr>
        <w:shd w:fill="F3F5F8" w:color="auto" w:val="clear"/>
        <w:spacing w:after="0" w:before="120"/>
        <w:ind w:left="160" w:right="160"/>
      </w:pPr>
      <w:r>
        <w:rPr>
          <w:b/>
          <w:bCs/>
          <w:color w:val="5A6575"/>
        </w:rPr>
        <w:t xml:space="preserve">문제</w:t>
      </w:r>
    </w:p>
    <w:p>
      <w:pPr>
        <w:pBdr>
          <w:left w:val="single" w:color="5A6575" w:sz="18" w:space="8"/>
        </w:pBdr>
        <w:shd w:fill="F3F5F8" w:color="auto" w:val="clear"/>
        <w:spacing w:after="160"/>
        <w:ind w:left="160" w:right="160"/>
      </w:pPr>
      <w:r>
        <w:t xml:space="preserve">공법관계와 사법관계의 의의와 양자의 차이점을 설명하시오.</w:t>
      </w:r>
    </w:p>
    <w:p>
      <w:pPr>
        <w:pStyle w:val="Heading2"/>
      </w:pPr>
      <w:r>
        <w:t xml:space="preserve">답안 개요</w:t>
      </w:r>
    </w:p>
    <w:p>
      <w:pPr>
        <w:pStyle w:val="ListParagraph"/>
        <w:numPr>
          <w:ilvl w:val="0"/>
          <w:numId w:val="5"/>
        </w:numPr>
        <w:spacing w:after="40"/>
      </w:pPr>
      <w:r>
        <w:rPr>
          <w:b/>
          <w:bCs/>
        </w:rPr>
        <w:t xml:space="preserve">서론</w:t>
      </w:r>
      <w:r>
        <w:t xml:space="preserve">: 법률관계의 의미, 국가와 사회의 이원론 위의 공·사법 이원 체계, 구별의 실천적 의미</w:t>
      </w:r>
    </w:p>
    <w:p>
      <w:pPr>
        <w:pStyle w:val="ListParagraph"/>
        <w:numPr>
          <w:ilvl w:val="0"/>
          <w:numId w:val="5"/>
        </w:numPr>
        <w:spacing w:after="40"/>
      </w:pPr>
      <w:r>
        <w:rPr>
          <w:b/>
          <w:bCs/>
        </w:rPr>
        <w:t xml:space="preserve">의의</w:t>
      </w:r>
      <w:r>
        <w:t xml:space="preserve">: 사법관계(대등, 사적자치) / 공법관계(행정주체, 공익 실현·법률적합성), 권력관계·관리관계·국고관계, 국가적 공권·개인적 공권</w:t>
      </w:r>
    </w:p>
    <w:p>
      <w:pPr>
        <w:pStyle w:val="ListParagraph"/>
        <w:numPr>
          <w:ilvl w:val="0"/>
          <w:numId w:val="5"/>
        </w:numPr>
        <w:spacing w:after="40"/>
      </w:pPr>
      <w:r>
        <w:rPr>
          <w:b/>
          <w:bCs/>
        </w:rPr>
        <w:t xml:space="preserve">구별 기준</w:t>
      </w:r>
      <w:r>
        <w:t xml:space="preserve">: 이익설·종속설·신주체설 → 종합 판단, 판례 예(협의취득 vs 수용재결, 일반재산 대부 vs 행정재산 사용허가)</w:t>
      </w:r>
    </w:p>
    <w:p>
      <w:pPr>
        <w:pStyle w:val="ListParagraph"/>
        <w:numPr>
          <w:ilvl w:val="0"/>
          <w:numId w:val="5"/>
        </w:numPr>
        <w:spacing w:after="40"/>
      </w:pPr>
      <w:r>
        <w:rPr>
          <w:b/>
          <w:bCs/>
        </w:rPr>
        <w:t xml:space="preserve">차이점 7가지</w:t>
      </w:r>
      <w:r>
        <w:t xml:space="preserve">: 지배 원리 / 형성 방식·절차 / 효력 / 강제 / 손해전보 / 쟁송 / 이익형량 구조</w:t>
      </w:r>
    </w:p>
    <w:p>
      <w:pPr>
        <w:pStyle w:val="ListParagraph"/>
        <w:numPr>
          <w:ilvl w:val="0"/>
          <w:numId w:val="5"/>
        </w:numPr>
        <w:spacing w:after="40"/>
      </w:pPr>
      <w:r>
        <w:rPr>
          <w:b/>
          <w:bCs/>
        </w:rPr>
        <w:t xml:space="preserve">현대적 변용</w:t>
      </w:r>
      <w:r>
        <w:t xml:space="preserve">: 사법의 공법화(사회법) · 공법의 사법화(행정사법), 그래도 구별의 실익은 남음</w:t>
      </w:r>
    </w:p>
    <w:p>
      <w:pPr>
        <w:pStyle w:val="ListParagraph"/>
        <w:numPr>
          <w:ilvl w:val="0"/>
          <w:numId w:val="5"/>
        </w:numPr>
        <w:spacing w:after="40"/>
      </w:pPr>
      <w:r>
        <w:rPr>
          <w:b/>
          <w:bCs/>
        </w:rPr>
        <w:t xml:space="preserve">결론</w:t>
      </w:r>
      <w:r>
        <w:t xml:space="preserve">: 시장과 국가를 구분한 법질서의 기본 설계</w:t>
      </w:r>
    </w:p>
    <w:p>
      <w:pPr>
        <w:pStyle w:val="Heading2"/>
      </w:pPr>
      <w:r>
        <w:t xml:space="preserve">모범답안</w:t>
      </w:r>
    </w:p>
    <w:p>
      <w:pPr>
        <w:pStyle w:val="Heading3"/>
      </w:pPr>
      <w:r>
        <w:t xml:space="preserve">Ⅰ. 서론: 공·사법 이원론의 의미</w:t>
      </w:r>
    </w:p>
    <w:p>
      <w:pPr>
        <w:spacing w:after="120" w:line="340"/>
        <w:ind w:firstLine="220"/>
        <w:jc w:val="both"/>
      </w:pPr>
      <w:r>
        <w:rPr>
          <w:b/>
          <w:bCs/>
        </w:rPr>
        <w:t xml:space="preserve">법률관계</w:t>
      </w:r>
      <w:r>
        <w:t xml:space="preserve">란 법이 규율하는 사람 사이의 생활관계, 곧 권리와 의무의 관계를 말한다. 근대 법질서는 </w:t>
      </w:r>
      <w:r>
        <w:rPr>
          <w:b/>
          <w:bCs/>
        </w:rPr>
        <w:t xml:space="preserve">국가와 사회를 구분하는 이원론</w:t>
      </w:r>
      <w:r>
        <w:t xml:space="preserve"> 위에 서 있다. 사회, 특히 시장은 자유롭고 평등한 개인들이 스스로 법률관계를 형성하는 자율의 영역이고, 국가는 공익을 실현하려고 공권력을 행사하되 그 권력이 법에 구속되는 영역이다. 이에 따라 법질서도 </w:t>
      </w:r>
      <w:r>
        <w:rPr>
          <w:b/>
          <w:bCs/>
        </w:rPr>
        <w:t xml:space="preserve">사적자치를 원리로 하는 사법(私法)</w:t>
      </w:r>
      <w:r>
        <w:t xml:space="preserve">과 </w:t>
      </w:r>
      <w:r>
        <w:rPr>
          <w:b/>
          <w:bCs/>
        </w:rPr>
        <w:t xml:space="preserve">공익 실현과 법치행정을 원리로 하는 공법(公法)</w:t>
      </w:r>
      <w:r>
        <w:t xml:space="preserve">으로 나뉜다. 우리 실정법은 행정절차법, 행정소송법, 국가배상법 등에서 공법관계를 사법관계와 다르게 다루므로, 어떤 법률관계가 어느 쪽에 속하는지는 </w:t>
      </w:r>
      <w:r>
        <w:rPr>
          <w:b/>
          <w:bCs/>
        </w:rPr>
        <w:t xml:space="preserve">적용 법규와 구제 절차를 결정하는 실천적 문제</w:t>
      </w:r>
      <w:r>
        <w:t xml:space="preserve">다.</w:t>
      </w:r>
    </w:p>
    <w:p>
      <w:pPr>
        <w:pStyle w:val="Heading3"/>
      </w:pPr>
      <w:r>
        <w:t xml:space="preserve">Ⅱ. 공법관계와 사법관계의 의의</w:t>
      </w:r>
    </w:p>
    <w:p>
      <w:pPr>
        <w:spacing w:after="60" w:before="140"/>
      </w:pPr>
      <w:r>
        <w:rPr>
          <w:b/>
          <w:bCs/>
          <w:color w:val="18202B"/>
        </w:rPr>
        <w:t xml:space="preserve">1. 사법관계</w:t>
      </w:r>
    </w:p>
    <w:p>
      <w:pPr>
        <w:spacing w:after="120" w:line="340"/>
        <w:ind w:firstLine="220"/>
        <w:jc w:val="both"/>
      </w:pPr>
      <w:r>
        <w:rPr>
          <w:b/>
          <w:bCs/>
        </w:rPr>
        <w:t xml:space="preserve">사법관계</w:t>
      </w:r>
      <w:r>
        <w:t xml:space="preserve">는 </w:t>
      </w:r>
      <w:r>
        <w:rPr>
          <w:b/>
          <w:bCs/>
        </w:rPr>
        <w:t xml:space="preserve">대등한 사인 상호 간</w:t>
      </w:r>
      <w:r>
        <w:t xml:space="preserve">의 법률관계다. 여기에는 사적자치의 원칙과 그로부터 나오는 계약자유, 소유권 존중, 과실책임의 원칙이 적용된다. 법률관계는 당사자의 </w:t>
      </w:r>
      <w:r>
        <w:rPr>
          <w:b/>
          <w:bCs/>
        </w:rPr>
        <w:t xml:space="preserve">의사 합치(계약)</w:t>
      </w:r>
      <w:r>
        <w:t xml:space="preserve">로 형성되며, 민법과 상법이 주로 규율한다. 국가나 지방자치단체도 사인과 같은 지위에서 물품을 사거나 일반재산을 파는 경우(</w:t>
      </w:r>
      <w:r>
        <w:rPr>
          <w:b/>
          <w:bCs/>
        </w:rPr>
        <w:t xml:space="preserve">국고관계</w:t>
      </w:r>
      <w:r>
        <w:t xml:space="preserve">)에는 사법관계의 당사자가 된다.</w:t>
      </w:r>
    </w:p>
    <w:p>
      <w:pPr>
        <w:spacing w:after="60" w:before="140"/>
      </w:pPr>
      <w:r>
        <w:rPr>
          <w:b/>
          <w:bCs/>
          <w:color w:val="18202B"/>
        </w:rPr>
        <w:t xml:space="preserve">2. 공법관계</w:t>
      </w:r>
    </w:p>
    <w:p>
      <w:pPr>
        <w:spacing w:after="120" w:line="340"/>
        <w:ind w:firstLine="220"/>
        <w:jc w:val="both"/>
      </w:pPr>
      <w:r>
        <w:rPr>
          <w:b/>
          <w:bCs/>
        </w:rPr>
        <w:t xml:space="preserve">공법관계</w:t>
      </w:r>
      <w:r>
        <w:t xml:space="preserve">는 국가·지방자치단체 등 </w:t>
      </w:r>
      <w:r>
        <w:rPr>
          <w:b/>
          <w:bCs/>
        </w:rPr>
        <w:t xml:space="preserve">행정주체</w:t>
      </w:r>
      <w:r>
        <w:t xml:space="preserve">가 공권력의 주체 또는 공익 실현의 주체로서 사인과 맺는 법률관계다. 여기에는 </w:t>
      </w:r>
      <w:r>
        <w:rPr>
          <w:b/>
          <w:bCs/>
        </w:rPr>
        <w:t xml:space="preserve">공익 실현</w:t>
      </w:r>
      <w:r>
        <w:t xml:space="preserve">을 중심으로 하는 공법원리가 적용되며, 행정주체는 법률에 근거해 </w:t>
      </w:r>
      <w:r>
        <w:rPr>
          <w:b/>
          <w:bCs/>
        </w:rPr>
        <w:t xml:space="preserve">일방적으로</w:t>
      </w:r>
      <w:r>
        <w:t xml:space="preserve"> 법률관계를 형성하거나 바꿀 수 있다. 공법관계는 다시 행정주체가 우월한 지위에서 명령·강제하는 </w:t>
      </w:r>
      <w:r>
        <w:rPr>
          <w:b/>
          <w:bCs/>
        </w:rPr>
        <w:t xml:space="preserve">권력관계</w:t>
      </w:r>
      <w:r>
        <w:t xml:space="preserve">(조세 부과, 경찰처분, 토지수용 등)와, 공익 목적으로 공물이나 사업을 관리·경영하는 비권력적 </w:t>
      </w:r>
      <w:r>
        <w:rPr>
          <w:b/>
          <w:bCs/>
        </w:rPr>
        <w:t xml:space="preserve">관리관계</w:t>
      </w:r>
      <w:r>
        <w:t xml:space="preserve">로 나눌 수 있다. 행정주체가 공법관계에서 우월한 의사주체로서 갖는 권리를 </w:t>
      </w:r>
      <w:r>
        <w:rPr>
          <w:b/>
          <w:bCs/>
        </w:rPr>
        <w:t xml:space="preserve">국가적 공권</w:t>
      </w:r>
      <w:r>
        <w:t xml:space="preserve">(조직권, 재정권, 경찰권, 복리행정권 등)이라 하고, 사인이 공법상 자기 이익을 위해 행정주체에게 일정한 행위를 요구할 수 있는 법적 힘을 </w:t>
      </w:r>
      <w:r>
        <w:rPr>
          <w:b/>
          <w:bCs/>
        </w:rPr>
        <w:t xml:space="preserve">개인적 공권</w:t>
      </w:r>
      <w:r>
        <w:t xml:space="preserve">(헌법상 국민투표권, 지방자치법상 주민투표권 등)이라 한다.</w:t>
      </w:r>
    </w:p>
    <w:p>
      <w:pPr>
        <w:pStyle w:val="Heading3"/>
      </w:pPr>
      <w:r>
        <w:t xml:space="preserve">Ⅲ. 구별 기준</w:t>
      </w:r>
    </w:p>
    <w:p>
      <w:pPr>
        <w:spacing w:after="120" w:line="340"/>
        <w:ind w:firstLine="220"/>
        <w:jc w:val="both"/>
      </w:pPr>
      <w:r>
        <w:t xml:space="preserve">구별 기준으로 여러 학설이 있다. </w:t>
      </w:r>
      <w:r>
        <w:rPr>
          <w:b/>
          <w:bCs/>
        </w:rPr>
        <w:t xml:space="preserve">이익설</w:t>
      </w:r>
      <w:r>
        <w:t xml:space="preserve">은 공익을 위한 법률관계를 공법관계, 사익을 위한 것을 사법관계로 본다. 그러나 사법도 거래의 안전 같은 공익에 이바지하고 공법도 개인적 공권으로 사익을 보호하므로 기준이 모호하다. </w:t>
      </w:r>
      <w:r>
        <w:rPr>
          <w:b/>
          <w:bCs/>
        </w:rPr>
        <w:t xml:space="preserve">종속설(권력설)</w:t>
      </w:r>
      <w:r>
        <w:t xml:space="preserve">은 상하의 지배·복종 관계를 공법관계, 대등한 관계를 사법관계로 본다. 그러나 공법상 계약처럼 대등한 공법관계나, 친권처럼 상하 관계인 사법관계를 설명하지 못한다. </w:t>
      </w:r>
      <w:r>
        <w:rPr>
          <w:b/>
          <w:bCs/>
        </w:rPr>
        <w:t xml:space="preserve">신주체설(귀속설)</w:t>
      </w:r>
      <w:r>
        <w:t xml:space="preserve">은 공권력의 주체에게만 권리·의무를 귀속시키는 법을 공법, 누구에게나 귀속될 수 있는 법을 사법으로 본다. 가장 유력한 기준이지만, 어떤 법규가 공권력 주체로서의 지위에 관한 것인지 다시 해석해야 한다. 그래서 하나의 기준만으로 가르기보다 </w:t>
      </w:r>
      <w:r>
        <w:rPr>
          <w:b/>
          <w:bCs/>
        </w:rPr>
        <w:t xml:space="preserve">관계 법규의 목적과 성질, 법률관계의 주체와 내용을 종합</w:t>
      </w:r>
      <w:r>
        <w:t xml:space="preserve">하여 판단하는 것이 일반적이다. 판례도 같은 토지를 취득하더라도 공익사업법상 </w:t>
      </w:r>
      <w:r>
        <w:rPr>
          <w:b/>
          <w:bCs/>
        </w:rPr>
        <w:t xml:space="preserve">협의취득은 사법상 매매</w:t>
      </w:r>
      <w:r>
        <w:t xml:space="preserve">로, </w:t>
      </w:r>
      <w:r>
        <w:rPr>
          <w:b/>
          <w:bCs/>
        </w:rPr>
        <w:t xml:space="preserve">수용재결은 공법상 처분</w:t>
      </w:r>
      <w:r>
        <w:t xml:space="preserve">으로 보고, 국유 </w:t>
      </w:r>
      <w:r>
        <w:rPr>
          <w:b/>
          <w:bCs/>
        </w:rPr>
        <w:t xml:space="preserve">일반재산의 대부는 사법관계</w:t>
      </w:r>
      <w:r>
        <w:t xml:space="preserve">로, </w:t>
      </w:r>
      <w:r>
        <w:rPr>
          <w:b/>
          <w:bCs/>
        </w:rPr>
        <w:t xml:space="preserve">행정재산의 사용·수익허가는 행정처분</w:t>
      </w:r>
      <w:r>
        <w:t xml:space="preserve">으로 본다.</w:t>
      </w:r>
    </w:p>
    <w:p>
      <w:pPr>
        <w:pStyle w:val="Heading3"/>
      </w:pPr>
      <w:r>
        <w:t xml:space="preserve">Ⅳ. 양자의 차이점</w:t>
      </w:r>
    </w:p>
    <w:p>
      <w:pPr>
        <w:spacing w:after="60" w:before="140"/>
      </w:pPr>
      <w:r>
        <w:rPr>
          <w:b/>
          <w:bCs/>
          <w:color w:val="18202B"/>
        </w:rPr>
        <w:t xml:space="preserve">1. 지배 원리: 사적자치와 법률적합성</w:t>
      </w:r>
    </w:p>
    <w:p>
      <w:pPr>
        <w:spacing w:after="120" w:line="340"/>
        <w:ind w:firstLine="220"/>
        <w:jc w:val="both"/>
      </w:pPr>
      <w:r>
        <w:t xml:space="preserve">사법관계에서는 당사자가 법률관계를 자유롭게 형성하는 </w:t>
      </w:r>
      <w:r>
        <w:rPr>
          <w:b/>
          <w:bCs/>
        </w:rPr>
        <w:t xml:space="preserve">사적자치</w:t>
      </w:r>
      <w:r>
        <w:t xml:space="preserve">가 원칙이다. 반면 공법관계에서 행정청에게는 이러한 '자치'가 허용되지 않는다. 모든 공권력 행사는 개인을 보호하기 위해 합헌적 법률에 따라 이루어져야 한다는 </w:t>
      </w:r>
      <w:r>
        <w:rPr>
          <w:b/>
          <w:bCs/>
        </w:rPr>
        <w:t xml:space="preserve">행정의 법률적합성 원칙</w:t>
      </w:r>
      <w:r>
        <w:t xml:space="preserve">(법률 우위, 법률 유보)이 적용되며, 이는 국민의 대표인 국회가 정한 법률에 행정을 묶어 둔다는 점에서 </w:t>
      </w:r>
      <w:r>
        <w:rPr>
          <w:b/>
          <w:bCs/>
        </w:rPr>
        <w:t xml:space="preserve">민주주의 원리의 표현</w:t>
      </w:r>
      <w:r>
        <w:t xml:space="preserve">이기도 하다. 또한 행정은 </w:t>
      </w:r>
      <w:r>
        <w:rPr>
          <w:b/>
          <w:bCs/>
        </w:rPr>
        <w:t xml:space="preserve">비례원칙, 신뢰보호원칙, 자기구속원칙, 부당결부금지원칙</w:t>
      </w:r>
      <w:r>
        <w:t xml:space="preserve"> 같은 행정법의 일반원칙에 구속되며, 비례원칙·신뢰보호원칙·부당결부금지원칙 등은 현재 행정기본법에 명문화되어 있다(자기구속원칙은 평등원칙에서 도출된다). 사법의 신의성실 원칙이 행정법에서는 신뢰보호원칙으로 나타난다는 점에서 두 영역은 서로 대응하기도 한다.</w:t>
      </w:r>
    </w:p>
    <w:p>
      <w:pPr>
        <w:spacing w:after="60" w:before="140"/>
      </w:pPr>
      <w:r>
        <w:rPr>
          <w:b/>
          <w:bCs/>
          <w:color w:val="18202B"/>
        </w:rPr>
        <w:t xml:space="preserve">2. 법률관계의 형성 방식과 절차</w:t>
      </w:r>
    </w:p>
    <w:p>
      <w:pPr>
        <w:spacing w:after="120" w:line="340"/>
        <w:ind w:firstLine="220"/>
        <w:jc w:val="both"/>
      </w:pPr>
      <w:r>
        <w:t xml:space="preserve">사법관계는 당사자의 의사 합치로 형성되고 방식도 원칙적으로 자유롭다. 공법관계에서 행정청은 </w:t>
      </w:r>
      <w:r>
        <w:rPr>
          <w:b/>
          <w:bCs/>
        </w:rPr>
        <w:t xml:space="preserve">처분</w:t>
      </w:r>
      <w:r>
        <w:t xml:space="preserve">이라는 일방적 행위로 법률관계를 형성하며, 그 절차는 </w:t>
      </w:r>
      <w:r>
        <w:rPr>
          <w:b/>
          <w:bCs/>
        </w:rPr>
        <w:t xml:space="preserve">행정절차법</w:t>
      </w:r>
      <w:r>
        <w:t xml:space="preserve">이 정한 바(처분의 사전통지, 의견청취, 이유제시 등)에 따라야 한다. 일방적으로 형성할 수 있는 힘을 갖는 대신 절차적 통제를 받는 것이다.</w:t>
      </w:r>
    </w:p>
    <w:p>
      <w:pPr>
        <w:spacing w:after="60" w:before="140"/>
      </w:pPr>
      <w:r>
        <w:rPr>
          <w:b/>
          <w:bCs/>
          <w:color w:val="18202B"/>
        </w:rPr>
        <w:t xml:space="preserve">3. 행위의 효력</w:t>
      </w:r>
    </w:p>
    <w:p>
      <w:pPr>
        <w:spacing w:after="120" w:line="340"/>
        <w:ind w:firstLine="220"/>
        <w:jc w:val="both"/>
      </w:pPr>
      <w:r>
        <w:t xml:space="preserve">사인의 법률행위는 하자가 있으면 무효이거나 취소할 수 있고, 그 판단은 결국 법원이 한다. 행정청의 처분은 하자가 있더라도 중대·명백하여 당연무효가 아닌 한 권한 있는 기관이 취소하기 전까지는 유효한 것으로 통용되는 </w:t>
      </w:r>
      <w:r>
        <w:rPr>
          <w:b/>
          <w:bCs/>
        </w:rPr>
        <w:t xml:space="preserve">공정력</w:t>
      </w:r>
      <w:r>
        <w:t xml:space="preserve">을 가지며, 쟁송기간이 지나면 더 이상 다툴 수 없는 </w:t>
      </w:r>
      <w:r>
        <w:rPr>
          <w:b/>
          <w:bCs/>
        </w:rPr>
        <w:t xml:space="preserve">불가쟁력</w:t>
      </w:r>
      <w:r>
        <w:t xml:space="preserve">이 생긴다. 공익 실현의 계속성과 법적 안정성을 위한 특수한 효력이다.</w:t>
      </w:r>
    </w:p>
    <w:p>
      <w:pPr>
        <w:spacing w:after="60" w:before="140"/>
      </w:pPr>
      <w:r>
        <w:rPr>
          <w:b/>
          <w:bCs/>
          <w:color w:val="18202B"/>
        </w:rPr>
        <w:t xml:space="preserve">4. 의무 불이행 시의 강제</w:t>
      </w:r>
    </w:p>
    <w:p>
      <w:pPr>
        <w:spacing w:after="120" w:line="340"/>
        <w:ind w:firstLine="220"/>
        <w:jc w:val="both"/>
      </w:pPr>
      <w:r>
        <w:t xml:space="preserve">상대방이 의무를 이행하지 않을 때 </w:t>
      </w:r>
      <w:r>
        <w:rPr>
          <w:b/>
          <w:bCs/>
        </w:rPr>
        <w:t xml:space="preserve">사인은 스스로 강제할 수 없다</w:t>
      </w:r>
      <w:r>
        <w:t xml:space="preserve">. 자력구제는 원칙적으로 금지되며, 법원의 판결을 받아 민사집행 절차를 거쳐야 한다. 반면 </w:t>
      </w:r>
      <w:r>
        <w:rPr>
          <w:b/>
          <w:bCs/>
        </w:rPr>
        <w:t xml:space="preserve">행정청은 법률의 근거가 있으면 법원을 거치지 않고 스스로 의무 이행을 강제</w:t>
      </w:r>
      <w:r>
        <w:t xml:space="preserve">할 수 있다(대집행, 이행강제금, 직접강제, 강제징수 등 행정상 강제집행). 위반에 대해서는 행정벌을 과할 수도 있다.</w:t>
      </w:r>
    </w:p>
    <w:p>
      <w:pPr>
        <w:spacing w:after="60" w:before="140"/>
      </w:pPr>
      <w:r>
        <w:rPr>
          <w:b/>
          <w:bCs/>
          <w:color w:val="18202B"/>
        </w:rPr>
        <w:t xml:space="preserve">5. 손해전보</w:t>
      </w:r>
    </w:p>
    <w:p>
      <w:pPr>
        <w:spacing w:after="120" w:line="340"/>
        <w:ind w:firstLine="220"/>
        <w:jc w:val="both"/>
      </w:pPr>
      <w:r>
        <w:t xml:space="preserve">사인의 불법행위로 인한 손해는 </w:t>
      </w:r>
      <w:r>
        <w:rPr>
          <w:b/>
          <w:bCs/>
        </w:rPr>
        <w:t xml:space="preserve">민법 제750조</w:t>
      </w:r>
      <w:r>
        <w:t xml:space="preserve">의 불법행위책임(과실책임)에 따라 배상한다. 공무원이 직무를 집행하면서 저지른 불법행위에 대해서는 </w:t>
      </w:r>
      <w:r>
        <w:rPr>
          <w:b/>
          <w:bCs/>
        </w:rPr>
        <w:t xml:space="preserve">헌법 제29조와 국가배상법</w:t>
      </w:r>
      <w:r>
        <w:t xml:space="preserve">에 따라 국가나 지방자치단체가 배상한다. 나아가 공법관계에는 </w:t>
      </w:r>
      <w:r>
        <w:rPr>
          <w:b/>
          <w:bCs/>
        </w:rPr>
        <w:t xml:space="preserve">적법한</w:t>
      </w:r>
      <w:r>
        <w:t xml:space="preserve"> 공권력 행사로 생긴 손실을 메우는 </w:t>
      </w:r>
      <w:r>
        <w:rPr>
          <w:b/>
          <w:bCs/>
        </w:rPr>
        <w:t xml:space="preserve">손실보상</w:t>
      </w:r>
      <w:r>
        <w:t xml:space="preserve"> 제도가 있다. 공공필요를 위한 재산권 제한은 사회적 제약의 범위에서는 사인이 참아야 하지만(</w:t>
      </w:r>
      <w:r>
        <w:rPr>
          <w:b/>
          <w:bCs/>
        </w:rPr>
        <w:t xml:space="preserve">수인의무</w:t>
      </w:r>
      <w:r>
        <w:t xml:space="preserve">), 그 침해가 특정인에게만 가혹한 </w:t>
      </w:r>
      <w:r>
        <w:rPr>
          <w:b/>
          <w:bCs/>
        </w:rPr>
        <w:t xml:space="preserve">특별한 희생</w:t>
      </w:r>
      <w:r>
        <w:t xml:space="preserve">에 이르면 국가는 헌법 제23조 제3항에 따라 정당한 보상을 해야 한다. 적법한 행위로 인한 손실을 보상하는 체계는 사법관계에 없는 공법관계의 특징이다.</w:t>
      </w:r>
    </w:p>
    <w:p>
      <w:pPr>
        <w:spacing w:after="60" w:before="140"/>
      </w:pPr>
      <w:r>
        <w:rPr>
          <w:b/>
          <w:bCs/>
          <w:color w:val="18202B"/>
        </w:rPr>
        <w:t xml:space="preserve">6. 쟁송 절차</w:t>
      </w:r>
    </w:p>
    <w:p>
      <w:pPr>
        <w:spacing w:after="120" w:line="340"/>
        <w:ind w:firstLine="220"/>
        <w:jc w:val="both"/>
      </w:pPr>
      <w:r>
        <w:t xml:space="preserve">사인 간 분쟁은 </w:t>
      </w:r>
      <w:r>
        <w:rPr>
          <w:b/>
          <w:bCs/>
        </w:rPr>
        <w:t xml:space="preserve">민사소송법</w:t>
      </w:r>
      <w:r>
        <w:t xml:space="preserve">에 따라 민사법원에서 해결한다. 행정주체와 사인 간 분쟁은 </w:t>
      </w:r>
      <w:r>
        <w:rPr>
          <w:b/>
          <w:bCs/>
        </w:rPr>
        <w:t xml:space="preserve">행정소송법</w:t>
      </w:r>
      <w:r>
        <w:t xml:space="preserve">에 따라 항고소송(취소소송, 무효등확인소송, 부작위위법확인소송)이나 당사자소송으로 다투며, 제소기간, 행정심판, 처분청을 피고로 하는 점, 직권심리, 사정판결처럼 공익을 고려한 특수한 규율을 받는다.</w:t>
      </w:r>
    </w:p>
    <w:p>
      <w:pPr>
        <w:spacing w:after="60" w:before="140"/>
      </w:pPr>
      <w:r>
        <w:rPr>
          <w:b/>
          <w:bCs/>
          <w:color w:val="18202B"/>
        </w:rPr>
        <w:t xml:space="preserve">7. 이익형량의 구조</w:t>
      </w:r>
    </w:p>
    <w:p>
      <w:pPr>
        <w:spacing w:after="120" w:line="340"/>
        <w:ind w:firstLine="220"/>
        <w:jc w:val="both"/>
      </w:pPr>
      <w:r>
        <w:t xml:space="preserve">사법관계의 갈등은 </w:t>
      </w:r>
      <w:r>
        <w:rPr>
          <w:b/>
          <w:bCs/>
        </w:rPr>
        <w:t xml:space="preserve">대등한 사익 사이의 조정</w:t>
      </w:r>
      <w:r>
        <w:t xml:space="preserve"> 문제이므로 신의성실 원칙, 권리남용 금지, 충돌하는 권리 사이의 규범조화적 해결이 중심이 된다. 공법관계의 갈등은 </w:t>
      </w:r>
      <w:r>
        <w:rPr>
          <w:b/>
          <w:bCs/>
        </w:rPr>
        <w:t xml:space="preserve">공익과 사익의 형량</w:t>
      </w:r>
      <w:r>
        <w:t xml:space="preserve"> 문제다. 공공복리를 위해 법률로 사익을 제한할 수 있지만(헌법 제37조 제2항), 그 제한은 </w:t>
      </w:r>
      <w:r>
        <w:rPr>
          <w:b/>
          <w:bCs/>
        </w:rPr>
        <w:t xml:space="preserve">과잉금지원칙</w:t>
      </w:r>
      <w:r>
        <w:t xml:space="preserve">을 지켜야 하고 기본권의 </w:t>
      </w:r>
      <w:r>
        <w:rPr>
          <w:b/>
          <w:bCs/>
        </w:rPr>
        <w:t xml:space="preserve">본질적 내용</w:t>
      </w:r>
      <w:r>
        <w:t xml:space="preserve">을 침해할 수 없다.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8"/>
        <w:gridCol w:w="3731"/>
        <w:gridCol w:w="4249"/>
      </w:tblGrid>
      <w:tr>
        <w:trPr>
          <w:tblHeader/>
        </w:trPr>
        <w:tc>
          <w:tcPr>
            <w:tcW w:type="dxa" w:w="1658"/>
            <w:tcBorders>
              <w:top w:val="single" w:color="BFC7D3" w:sz="4"/>
              <w:left w:val="single" w:color="BFC7D3" w:sz="4"/>
              <w:bottom w:val="single" w:color="BFC7D3" w:sz="4"/>
              <w:right w:val="single" w:color="BFC7D3" w:sz="4"/>
            </w:tcBorders>
            <w:shd w:fill="DCE4F5" w:color="auto" w:val="clear"/>
            <w:tcMar>
              <w:top w:type="dxa" w:w="60"/>
              <w:left w:type="dxa" w:w="100"/>
              <w:bottom w:type="dxa" w:w="60"/>
              <w:right w:type="dxa" w:w="100"/>
            </w:tcMar>
          </w:tcPr>
          <w:p>
            <w:r>
              <w:rPr>
                <w:b/>
                <w:bCs/>
                <w:sz w:val="19"/>
                <w:szCs w:val="19"/>
              </w:rPr>
              <w:t xml:space="preserve">구분</w:t>
            </w:r>
          </w:p>
        </w:tc>
        <w:tc>
          <w:tcPr>
            <w:tcW w:type="dxa" w:w="3731"/>
            <w:tcBorders>
              <w:top w:val="single" w:color="BFC7D3" w:sz="4"/>
              <w:left w:val="single" w:color="BFC7D3" w:sz="4"/>
              <w:bottom w:val="single" w:color="BFC7D3" w:sz="4"/>
              <w:right w:val="single" w:color="BFC7D3" w:sz="4"/>
            </w:tcBorders>
            <w:shd w:fill="DCE4F5" w:color="auto" w:val="clear"/>
            <w:tcMar>
              <w:top w:type="dxa" w:w="60"/>
              <w:left w:type="dxa" w:w="100"/>
              <w:bottom w:type="dxa" w:w="60"/>
              <w:right w:type="dxa" w:w="100"/>
            </w:tcMar>
          </w:tcPr>
          <w:p>
            <w:r>
              <w:rPr>
                <w:b/>
                <w:bCs/>
                <w:sz w:val="19"/>
                <w:szCs w:val="19"/>
              </w:rPr>
              <w:t xml:space="preserve">사법관계</w:t>
            </w:r>
          </w:p>
        </w:tc>
        <w:tc>
          <w:tcPr>
            <w:tcW w:type="dxa" w:w="4249"/>
            <w:tcBorders>
              <w:top w:val="single" w:color="BFC7D3" w:sz="4"/>
              <w:left w:val="single" w:color="BFC7D3" w:sz="4"/>
              <w:bottom w:val="single" w:color="BFC7D3" w:sz="4"/>
              <w:right w:val="single" w:color="BFC7D3" w:sz="4"/>
            </w:tcBorders>
            <w:shd w:fill="DCE4F5" w:color="auto" w:val="clear"/>
            <w:tcMar>
              <w:top w:type="dxa" w:w="60"/>
              <w:left w:type="dxa" w:w="100"/>
              <w:bottom w:type="dxa" w:w="60"/>
              <w:right w:type="dxa" w:w="100"/>
            </w:tcMar>
          </w:tcPr>
          <w:p>
            <w:r>
              <w:rPr>
                <w:b/>
                <w:bCs/>
                <w:sz w:val="19"/>
                <w:szCs w:val="19"/>
              </w:rPr>
              <w:t xml:space="preserve">공법관계</w:t>
            </w:r>
          </w:p>
        </w:tc>
      </w:tr>
      <w:tr>
        <w:tc>
          <w:tcPr>
            <w:tcW w:type="dxa" w:w="1658"/>
            <w:tcBorders>
              <w:top w:val="single" w:color="BFC7D3" w:sz="4"/>
              <w:left w:val="single" w:color="BFC7D3" w:sz="4"/>
              <w:bottom w:val="single" w:color="BFC7D3" w:sz="4"/>
              <w:right w:val="single" w:color="BFC7D3" w:sz="4"/>
            </w:tcBorders>
            <w:shd w:fill="F3F5F8" w:color="auto" w:val="clear"/>
            <w:tcMar>
              <w:top w:type="dxa" w:w="60"/>
              <w:left w:type="dxa" w:w="100"/>
              <w:bottom w:type="dxa" w:w="60"/>
              <w:right w:type="dxa" w:w="100"/>
            </w:tcMar>
          </w:tcPr>
          <w:p>
            <w:r>
              <w:rPr>
                <w:sz w:val="19"/>
                <w:szCs w:val="19"/>
              </w:rPr>
              <w:t xml:space="preserve">당사자</w:t>
            </w:r>
          </w:p>
        </w:tc>
        <w:tc>
          <w:tcPr>
            <w:tcW w:type="dxa" w:w="3731"/>
            <w:tcBorders>
              <w:top w:val="single" w:color="BFC7D3" w:sz="4"/>
              <w:left w:val="single" w:color="BFC7D3" w:sz="4"/>
              <w:bottom w:val="single" w:color="BFC7D3" w:sz="4"/>
              <w:right w:val="single" w:color="BFC7D3" w:sz="4"/>
            </w:tcBorders>
            <w:tcMar>
              <w:top w:type="dxa" w:w="60"/>
              <w:left w:type="dxa" w:w="100"/>
              <w:bottom w:type="dxa" w:w="60"/>
              <w:right w:type="dxa" w:w="100"/>
            </w:tcMar>
          </w:tcPr>
          <w:p>
            <w:r>
              <w:rPr>
                <w:sz w:val="19"/>
                <w:szCs w:val="19"/>
              </w:rPr>
              <w:t xml:space="preserve">대등한 사인 상호 간 (국고관계 포함)</w:t>
            </w:r>
          </w:p>
        </w:tc>
        <w:tc>
          <w:tcPr>
            <w:tcW w:type="dxa" w:w="4249"/>
            <w:tcBorders>
              <w:top w:val="single" w:color="BFC7D3" w:sz="4"/>
              <w:left w:val="single" w:color="BFC7D3" w:sz="4"/>
              <w:bottom w:val="single" w:color="BFC7D3" w:sz="4"/>
              <w:right w:val="single" w:color="BFC7D3" w:sz="4"/>
            </w:tcBorders>
            <w:tcMar>
              <w:top w:type="dxa" w:w="60"/>
              <w:left w:type="dxa" w:w="100"/>
              <w:bottom w:type="dxa" w:w="60"/>
              <w:right w:type="dxa" w:w="100"/>
            </w:tcMar>
          </w:tcPr>
          <w:p>
            <w:r>
              <w:rPr>
                <w:sz w:val="19"/>
                <w:szCs w:val="19"/>
              </w:rPr>
              <w:t xml:space="preserve">행정주체(공권력·공익 실현 주체)와 사인</w:t>
            </w:r>
          </w:p>
        </w:tc>
      </w:tr>
      <w:tr>
        <w:tc>
          <w:tcPr>
            <w:tcW w:type="dxa" w:w="1658"/>
            <w:tcBorders>
              <w:top w:val="single" w:color="BFC7D3" w:sz="4"/>
              <w:left w:val="single" w:color="BFC7D3" w:sz="4"/>
              <w:bottom w:val="single" w:color="BFC7D3" w:sz="4"/>
              <w:right w:val="single" w:color="BFC7D3" w:sz="4"/>
            </w:tcBorders>
            <w:shd w:fill="F3F5F8" w:color="auto" w:val="clear"/>
            <w:tcMar>
              <w:top w:type="dxa" w:w="60"/>
              <w:left w:type="dxa" w:w="100"/>
              <w:bottom w:type="dxa" w:w="60"/>
              <w:right w:type="dxa" w:w="100"/>
            </w:tcMar>
          </w:tcPr>
          <w:p>
            <w:r>
              <w:rPr>
                <w:sz w:val="19"/>
                <w:szCs w:val="19"/>
              </w:rPr>
              <w:t xml:space="preserve">지배 원리</w:t>
            </w:r>
          </w:p>
        </w:tc>
        <w:tc>
          <w:tcPr>
            <w:tcW w:type="dxa" w:w="3731"/>
            <w:tcBorders>
              <w:top w:val="single" w:color="BFC7D3" w:sz="4"/>
              <w:left w:val="single" w:color="BFC7D3" w:sz="4"/>
              <w:bottom w:val="single" w:color="BFC7D3" w:sz="4"/>
              <w:right w:val="single" w:color="BFC7D3" w:sz="4"/>
            </w:tcBorders>
            <w:tcMar>
              <w:top w:type="dxa" w:w="60"/>
              <w:left w:type="dxa" w:w="100"/>
              <w:bottom w:type="dxa" w:w="60"/>
              <w:right w:type="dxa" w:w="100"/>
            </w:tcMar>
          </w:tcPr>
          <w:p>
            <w:r>
              <w:rPr>
                <w:sz w:val="19"/>
                <w:szCs w:val="19"/>
              </w:rPr>
              <w:t xml:space="preserve">사적자치 (계약자유·소유권 존중·과실책임)</w:t>
            </w:r>
          </w:p>
        </w:tc>
        <w:tc>
          <w:tcPr>
            <w:tcW w:type="dxa" w:w="4249"/>
            <w:tcBorders>
              <w:top w:val="single" w:color="BFC7D3" w:sz="4"/>
              <w:left w:val="single" w:color="BFC7D3" w:sz="4"/>
              <w:bottom w:val="single" w:color="BFC7D3" w:sz="4"/>
              <w:right w:val="single" w:color="BFC7D3" w:sz="4"/>
            </w:tcBorders>
            <w:tcMar>
              <w:top w:type="dxa" w:w="60"/>
              <w:left w:type="dxa" w:w="100"/>
              <w:bottom w:type="dxa" w:w="60"/>
              <w:right w:type="dxa" w:w="100"/>
            </w:tcMar>
          </w:tcPr>
          <w:p>
            <w:r>
              <w:rPr>
                <w:sz w:val="19"/>
                <w:szCs w:val="19"/>
              </w:rPr>
              <w:t xml:space="preserve">공익 실현, 법률적합성(법률 우위·유보), 행정법 일반원칙</w:t>
            </w:r>
          </w:p>
        </w:tc>
      </w:tr>
      <w:tr>
        <w:tc>
          <w:tcPr>
            <w:tcW w:type="dxa" w:w="1658"/>
            <w:tcBorders>
              <w:top w:val="single" w:color="BFC7D3" w:sz="4"/>
              <w:left w:val="single" w:color="BFC7D3" w:sz="4"/>
              <w:bottom w:val="single" w:color="BFC7D3" w:sz="4"/>
              <w:right w:val="single" w:color="BFC7D3" w:sz="4"/>
            </w:tcBorders>
            <w:shd w:fill="F3F5F8" w:color="auto" w:val="clear"/>
            <w:tcMar>
              <w:top w:type="dxa" w:w="60"/>
              <w:left w:type="dxa" w:w="100"/>
              <w:bottom w:type="dxa" w:w="60"/>
              <w:right w:type="dxa" w:w="100"/>
            </w:tcMar>
          </w:tcPr>
          <w:p>
            <w:r>
              <w:rPr>
                <w:sz w:val="19"/>
                <w:szCs w:val="19"/>
              </w:rPr>
              <w:t xml:space="preserve">형성 방식</w:t>
            </w:r>
          </w:p>
        </w:tc>
        <w:tc>
          <w:tcPr>
            <w:tcW w:type="dxa" w:w="3731"/>
            <w:tcBorders>
              <w:top w:val="single" w:color="BFC7D3" w:sz="4"/>
              <w:left w:val="single" w:color="BFC7D3" w:sz="4"/>
              <w:bottom w:val="single" w:color="BFC7D3" w:sz="4"/>
              <w:right w:val="single" w:color="BFC7D3" w:sz="4"/>
            </w:tcBorders>
            <w:tcMar>
              <w:top w:type="dxa" w:w="60"/>
              <w:left w:type="dxa" w:w="100"/>
              <w:bottom w:type="dxa" w:w="60"/>
              <w:right w:type="dxa" w:w="100"/>
            </w:tcMar>
          </w:tcPr>
          <w:p>
            <w:r>
              <w:rPr>
                <w:sz w:val="19"/>
                <w:szCs w:val="19"/>
              </w:rPr>
              <w:t xml:space="preserve">의사 합치(계약), 방식 자유</w:t>
            </w:r>
          </w:p>
        </w:tc>
        <w:tc>
          <w:tcPr>
            <w:tcW w:type="dxa" w:w="4249"/>
            <w:tcBorders>
              <w:top w:val="single" w:color="BFC7D3" w:sz="4"/>
              <w:left w:val="single" w:color="BFC7D3" w:sz="4"/>
              <w:bottom w:val="single" w:color="BFC7D3" w:sz="4"/>
              <w:right w:val="single" w:color="BFC7D3" w:sz="4"/>
            </w:tcBorders>
            <w:tcMar>
              <w:top w:type="dxa" w:w="60"/>
              <w:left w:type="dxa" w:w="100"/>
              <w:bottom w:type="dxa" w:w="60"/>
              <w:right w:type="dxa" w:w="100"/>
            </w:tcMar>
          </w:tcPr>
          <w:p>
            <w:r>
              <w:rPr>
                <w:sz w:val="19"/>
                <w:szCs w:val="19"/>
              </w:rPr>
              <w:t xml:space="preserve">처분 등 일방적 형성, 행정절차법</w:t>
            </w:r>
          </w:p>
        </w:tc>
      </w:tr>
      <w:tr>
        <w:tc>
          <w:tcPr>
            <w:tcW w:type="dxa" w:w="1658"/>
            <w:tcBorders>
              <w:top w:val="single" w:color="BFC7D3" w:sz="4"/>
              <w:left w:val="single" w:color="BFC7D3" w:sz="4"/>
              <w:bottom w:val="single" w:color="BFC7D3" w:sz="4"/>
              <w:right w:val="single" w:color="BFC7D3" w:sz="4"/>
            </w:tcBorders>
            <w:shd w:fill="F3F5F8" w:color="auto" w:val="clear"/>
            <w:tcMar>
              <w:top w:type="dxa" w:w="60"/>
              <w:left w:type="dxa" w:w="100"/>
              <w:bottom w:type="dxa" w:w="60"/>
              <w:right w:type="dxa" w:w="100"/>
            </w:tcMar>
          </w:tcPr>
          <w:p>
            <w:r>
              <w:rPr>
                <w:sz w:val="19"/>
                <w:szCs w:val="19"/>
              </w:rPr>
              <w:t xml:space="preserve">효력</w:t>
            </w:r>
          </w:p>
        </w:tc>
        <w:tc>
          <w:tcPr>
            <w:tcW w:type="dxa" w:w="3731"/>
            <w:tcBorders>
              <w:top w:val="single" w:color="BFC7D3" w:sz="4"/>
              <w:left w:val="single" w:color="BFC7D3" w:sz="4"/>
              <w:bottom w:val="single" w:color="BFC7D3" w:sz="4"/>
              <w:right w:val="single" w:color="BFC7D3" w:sz="4"/>
            </w:tcBorders>
            <w:tcMar>
              <w:top w:type="dxa" w:w="60"/>
              <w:left w:type="dxa" w:w="100"/>
              <w:bottom w:type="dxa" w:w="60"/>
              <w:right w:type="dxa" w:w="100"/>
            </w:tcMar>
          </w:tcPr>
          <w:p>
            <w:r>
              <w:rPr>
                <w:sz w:val="19"/>
                <w:szCs w:val="19"/>
              </w:rPr>
              <w:t xml:space="preserve">하자 있으면 무효·취소 (법원 판단)</w:t>
            </w:r>
          </w:p>
        </w:tc>
        <w:tc>
          <w:tcPr>
            <w:tcW w:type="dxa" w:w="4249"/>
            <w:tcBorders>
              <w:top w:val="single" w:color="BFC7D3" w:sz="4"/>
              <w:left w:val="single" w:color="BFC7D3" w:sz="4"/>
              <w:bottom w:val="single" w:color="BFC7D3" w:sz="4"/>
              <w:right w:val="single" w:color="BFC7D3" w:sz="4"/>
            </w:tcBorders>
            <w:tcMar>
              <w:top w:type="dxa" w:w="60"/>
              <w:left w:type="dxa" w:w="100"/>
              <w:bottom w:type="dxa" w:w="60"/>
              <w:right w:type="dxa" w:w="100"/>
            </w:tcMar>
          </w:tcPr>
          <w:p>
            <w:r>
              <w:rPr>
                <w:sz w:val="19"/>
                <w:szCs w:val="19"/>
              </w:rPr>
              <w:t xml:space="preserve">공정력, 불가쟁력</w:t>
            </w:r>
          </w:p>
        </w:tc>
      </w:tr>
      <w:tr>
        <w:tc>
          <w:tcPr>
            <w:tcW w:type="dxa" w:w="1658"/>
            <w:tcBorders>
              <w:top w:val="single" w:color="BFC7D3" w:sz="4"/>
              <w:left w:val="single" w:color="BFC7D3" w:sz="4"/>
              <w:bottom w:val="single" w:color="BFC7D3" w:sz="4"/>
              <w:right w:val="single" w:color="BFC7D3" w:sz="4"/>
            </w:tcBorders>
            <w:shd w:fill="F3F5F8" w:color="auto" w:val="clear"/>
            <w:tcMar>
              <w:top w:type="dxa" w:w="60"/>
              <w:left w:type="dxa" w:w="100"/>
              <w:bottom w:type="dxa" w:w="60"/>
              <w:right w:type="dxa" w:w="100"/>
            </w:tcMar>
          </w:tcPr>
          <w:p>
            <w:r>
              <w:rPr>
                <w:sz w:val="19"/>
                <w:szCs w:val="19"/>
              </w:rPr>
              <w:t xml:space="preserve">의무 불이행</w:t>
            </w:r>
          </w:p>
        </w:tc>
        <w:tc>
          <w:tcPr>
            <w:tcW w:type="dxa" w:w="3731"/>
            <w:tcBorders>
              <w:top w:val="single" w:color="BFC7D3" w:sz="4"/>
              <w:left w:val="single" w:color="BFC7D3" w:sz="4"/>
              <w:bottom w:val="single" w:color="BFC7D3" w:sz="4"/>
              <w:right w:val="single" w:color="BFC7D3" w:sz="4"/>
            </w:tcBorders>
            <w:tcMar>
              <w:top w:type="dxa" w:w="60"/>
              <w:left w:type="dxa" w:w="100"/>
              <w:bottom w:type="dxa" w:w="60"/>
              <w:right w:type="dxa" w:w="100"/>
            </w:tcMar>
          </w:tcPr>
          <w:p>
            <w:r>
              <w:rPr>
                <w:sz w:val="19"/>
                <w:szCs w:val="19"/>
              </w:rPr>
              <w:t xml:space="preserve">자력강제 불가 → 판결·민사집행</w:t>
            </w:r>
          </w:p>
        </w:tc>
        <w:tc>
          <w:tcPr>
            <w:tcW w:type="dxa" w:w="4249"/>
            <w:tcBorders>
              <w:top w:val="single" w:color="BFC7D3" w:sz="4"/>
              <w:left w:val="single" w:color="BFC7D3" w:sz="4"/>
              <w:bottom w:val="single" w:color="BFC7D3" w:sz="4"/>
              <w:right w:val="single" w:color="BFC7D3" w:sz="4"/>
            </w:tcBorders>
            <w:tcMar>
              <w:top w:type="dxa" w:w="60"/>
              <w:left w:type="dxa" w:w="100"/>
              <w:bottom w:type="dxa" w:w="60"/>
              <w:right w:type="dxa" w:w="100"/>
            </w:tcMar>
          </w:tcPr>
          <w:p>
            <w:r>
              <w:rPr>
                <w:sz w:val="19"/>
                <w:szCs w:val="19"/>
              </w:rPr>
              <w:t xml:space="preserve">행정상 강제집행(대집행·이행강제금·직접강제·강제징수), 행정벌</w:t>
            </w:r>
          </w:p>
        </w:tc>
      </w:tr>
      <w:tr>
        <w:tc>
          <w:tcPr>
            <w:tcW w:type="dxa" w:w="1658"/>
            <w:tcBorders>
              <w:top w:val="single" w:color="BFC7D3" w:sz="4"/>
              <w:left w:val="single" w:color="BFC7D3" w:sz="4"/>
              <w:bottom w:val="single" w:color="BFC7D3" w:sz="4"/>
              <w:right w:val="single" w:color="BFC7D3" w:sz="4"/>
            </w:tcBorders>
            <w:shd w:fill="F3F5F8" w:color="auto" w:val="clear"/>
            <w:tcMar>
              <w:top w:type="dxa" w:w="60"/>
              <w:left w:type="dxa" w:w="100"/>
              <w:bottom w:type="dxa" w:w="60"/>
              <w:right w:type="dxa" w:w="100"/>
            </w:tcMar>
          </w:tcPr>
          <w:p>
            <w:r>
              <w:rPr>
                <w:sz w:val="19"/>
                <w:szCs w:val="19"/>
              </w:rPr>
              <w:t xml:space="preserve">권리</w:t>
            </w:r>
          </w:p>
        </w:tc>
        <w:tc>
          <w:tcPr>
            <w:tcW w:type="dxa" w:w="3731"/>
            <w:tcBorders>
              <w:top w:val="single" w:color="BFC7D3" w:sz="4"/>
              <w:left w:val="single" w:color="BFC7D3" w:sz="4"/>
              <w:bottom w:val="single" w:color="BFC7D3" w:sz="4"/>
              <w:right w:val="single" w:color="BFC7D3" w:sz="4"/>
            </w:tcBorders>
            <w:tcMar>
              <w:top w:type="dxa" w:w="60"/>
              <w:left w:type="dxa" w:w="100"/>
              <w:bottom w:type="dxa" w:w="60"/>
              <w:right w:type="dxa" w:w="100"/>
            </w:tcMar>
          </w:tcPr>
          <w:p>
            <w:r>
              <w:rPr>
                <w:sz w:val="19"/>
                <w:szCs w:val="19"/>
              </w:rPr>
              <w:t xml:space="preserve">사권 (처분·포기 자유)</w:t>
            </w:r>
          </w:p>
        </w:tc>
        <w:tc>
          <w:tcPr>
            <w:tcW w:type="dxa" w:w="4249"/>
            <w:tcBorders>
              <w:top w:val="single" w:color="BFC7D3" w:sz="4"/>
              <w:left w:val="single" w:color="BFC7D3" w:sz="4"/>
              <w:bottom w:val="single" w:color="BFC7D3" w:sz="4"/>
              <w:right w:val="single" w:color="BFC7D3" w:sz="4"/>
            </w:tcBorders>
            <w:tcMar>
              <w:top w:type="dxa" w:w="60"/>
              <w:left w:type="dxa" w:w="100"/>
              <w:bottom w:type="dxa" w:w="60"/>
              <w:right w:type="dxa" w:w="100"/>
            </w:tcMar>
          </w:tcPr>
          <w:p>
            <w:r>
              <w:rPr>
                <w:sz w:val="19"/>
                <w:szCs w:val="19"/>
              </w:rPr>
              <w:t xml:space="preserve">국가적 공권 / 개인적 공권</w:t>
            </w:r>
          </w:p>
        </w:tc>
      </w:tr>
      <w:tr>
        <w:tc>
          <w:tcPr>
            <w:tcW w:type="dxa" w:w="1658"/>
            <w:tcBorders>
              <w:top w:val="single" w:color="BFC7D3" w:sz="4"/>
              <w:left w:val="single" w:color="BFC7D3" w:sz="4"/>
              <w:bottom w:val="single" w:color="BFC7D3" w:sz="4"/>
              <w:right w:val="single" w:color="BFC7D3" w:sz="4"/>
            </w:tcBorders>
            <w:shd w:fill="F3F5F8" w:color="auto" w:val="clear"/>
            <w:tcMar>
              <w:top w:type="dxa" w:w="60"/>
              <w:left w:type="dxa" w:w="100"/>
              <w:bottom w:type="dxa" w:w="60"/>
              <w:right w:type="dxa" w:w="100"/>
            </w:tcMar>
          </w:tcPr>
          <w:p>
            <w:r>
              <w:rPr>
                <w:sz w:val="19"/>
                <w:szCs w:val="19"/>
              </w:rPr>
              <w:t xml:space="preserve">손해전보</w:t>
            </w:r>
          </w:p>
        </w:tc>
        <w:tc>
          <w:tcPr>
            <w:tcW w:type="dxa" w:w="3731"/>
            <w:tcBorders>
              <w:top w:val="single" w:color="BFC7D3" w:sz="4"/>
              <w:left w:val="single" w:color="BFC7D3" w:sz="4"/>
              <w:bottom w:val="single" w:color="BFC7D3" w:sz="4"/>
              <w:right w:val="single" w:color="BFC7D3" w:sz="4"/>
            </w:tcBorders>
            <w:tcMar>
              <w:top w:type="dxa" w:w="60"/>
              <w:left w:type="dxa" w:w="100"/>
              <w:bottom w:type="dxa" w:w="60"/>
              <w:right w:type="dxa" w:w="100"/>
            </w:tcMar>
          </w:tcPr>
          <w:p>
            <w:r>
              <w:rPr>
                <w:sz w:val="19"/>
                <w:szCs w:val="19"/>
              </w:rPr>
              <w:t xml:space="preserve">민법 제750조 불법행위책임</w:t>
            </w:r>
          </w:p>
        </w:tc>
        <w:tc>
          <w:tcPr>
            <w:tcW w:type="dxa" w:w="4249"/>
            <w:tcBorders>
              <w:top w:val="single" w:color="BFC7D3" w:sz="4"/>
              <w:left w:val="single" w:color="BFC7D3" w:sz="4"/>
              <w:bottom w:val="single" w:color="BFC7D3" w:sz="4"/>
              <w:right w:val="single" w:color="BFC7D3" w:sz="4"/>
            </w:tcBorders>
            <w:tcMar>
              <w:top w:type="dxa" w:w="60"/>
              <w:left w:type="dxa" w:w="100"/>
              <w:bottom w:type="dxa" w:w="60"/>
              <w:right w:type="dxa" w:w="100"/>
            </w:tcMar>
          </w:tcPr>
          <w:p>
            <w:r>
              <w:rPr>
                <w:sz w:val="19"/>
                <w:szCs w:val="19"/>
              </w:rPr>
              <w:t xml:space="preserve">국가배상법(헌법 제29조), 손실보상(헌법 제23조 제3항)</w:t>
            </w:r>
          </w:p>
        </w:tc>
      </w:tr>
      <w:tr>
        <w:tc>
          <w:tcPr>
            <w:tcW w:type="dxa" w:w="1658"/>
            <w:tcBorders>
              <w:top w:val="single" w:color="BFC7D3" w:sz="4"/>
              <w:left w:val="single" w:color="BFC7D3" w:sz="4"/>
              <w:bottom w:val="single" w:color="BFC7D3" w:sz="4"/>
              <w:right w:val="single" w:color="BFC7D3" w:sz="4"/>
            </w:tcBorders>
            <w:shd w:fill="F3F5F8" w:color="auto" w:val="clear"/>
            <w:tcMar>
              <w:top w:type="dxa" w:w="60"/>
              <w:left w:type="dxa" w:w="100"/>
              <w:bottom w:type="dxa" w:w="60"/>
              <w:right w:type="dxa" w:w="100"/>
            </w:tcMar>
          </w:tcPr>
          <w:p>
            <w:r>
              <w:rPr>
                <w:sz w:val="19"/>
                <w:szCs w:val="19"/>
              </w:rPr>
              <w:t xml:space="preserve">쟁송</w:t>
            </w:r>
          </w:p>
        </w:tc>
        <w:tc>
          <w:tcPr>
            <w:tcW w:type="dxa" w:w="3731"/>
            <w:tcBorders>
              <w:top w:val="single" w:color="BFC7D3" w:sz="4"/>
              <w:left w:val="single" w:color="BFC7D3" w:sz="4"/>
              <w:bottom w:val="single" w:color="BFC7D3" w:sz="4"/>
              <w:right w:val="single" w:color="BFC7D3" w:sz="4"/>
            </w:tcBorders>
            <w:tcMar>
              <w:top w:type="dxa" w:w="60"/>
              <w:left w:type="dxa" w:w="100"/>
              <w:bottom w:type="dxa" w:w="60"/>
              <w:right w:type="dxa" w:w="100"/>
            </w:tcMar>
          </w:tcPr>
          <w:p>
            <w:r>
              <w:rPr>
                <w:sz w:val="19"/>
                <w:szCs w:val="19"/>
              </w:rPr>
              <w:t xml:space="preserve">민사소송법 (민사법원)</w:t>
            </w:r>
          </w:p>
        </w:tc>
        <w:tc>
          <w:tcPr>
            <w:tcW w:type="dxa" w:w="4249"/>
            <w:tcBorders>
              <w:top w:val="single" w:color="BFC7D3" w:sz="4"/>
              <w:left w:val="single" w:color="BFC7D3" w:sz="4"/>
              <w:bottom w:val="single" w:color="BFC7D3" w:sz="4"/>
              <w:right w:val="single" w:color="BFC7D3" w:sz="4"/>
            </w:tcBorders>
            <w:tcMar>
              <w:top w:type="dxa" w:w="60"/>
              <w:left w:type="dxa" w:w="100"/>
              <w:bottom w:type="dxa" w:w="60"/>
              <w:right w:type="dxa" w:w="100"/>
            </w:tcMar>
          </w:tcPr>
          <w:p>
            <w:r>
              <w:rPr>
                <w:sz w:val="19"/>
                <w:szCs w:val="19"/>
              </w:rPr>
              <w:t xml:space="preserve">행정소송법 (항고소송·당사자소송, 제소기간 등)</w:t>
            </w:r>
          </w:p>
        </w:tc>
      </w:tr>
      <w:tr>
        <w:tc>
          <w:tcPr>
            <w:tcW w:type="dxa" w:w="1658"/>
            <w:tcBorders>
              <w:top w:val="single" w:color="BFC7D3" w:sz="4"/>
              <w:left w:val="single" w:color="BFC7D3" w:sz="4"/>
              <w:bottom w:val="single" w:color="BFC7D3" w:sz="4"/>
              <w:right w:val="single" w:color="BFC7D3" w:sz="4"/>
            </w:tcBorders>
            <w:shd w:fill="F3F5F8" w:color="auto" w:val="clear"/>
            <w:tcMar>
              <w:top w:type="dxa" w:w="60"/>
              <w:left w:type="dxa" w:w="100"/>
              <w:bottom w:type="dxa" w:w="60"/>
              <w:right w:type="dxa" w:w="100"/>
            </w:tcMar>
          </w:tcPr>
          <w:p>
            <w:r>
              <w:rPr>
                <w:sz w:val="19"/>
                <w:szCs w:val="19"/>
              </w:rPr>
              <w:t xml:space="preserve">이익 조정</w:t>
            </w:r>
          </w:p>
        </w:tc>
        <w:tc>
          <w:tcPr>
            <w:tcW w:type="dxa" w:w="3731"/>
            <w:tcBorders>
              <w:top w:val="single" w:color="BFC7D3" w:sz="4"/>
              <w:left w:val="single" w:color="BFC7D3" w:sz="4"/>
              <w:bottom w:val="single" w:color="BFC7D3" w:sz="4"/>
              <w:right w:val="single" w:color="BFC7D3" w:sz="4"/>
            </w:tcBorders>
            <w:tcMar>
              <w:top w:type="dxa" w:w="60"/>
              <w:left w:type="dxa" w:w="100"/>
              <w:bottom w:type="dxa" w:w="60"/>
              <w:right w:type="dxa" w:w="100"/>
            </w:tcMar>
          </w:tcPr>
          <w:p>
            <w:r>
              <w:rPr>
                <w:sz w:val="19"/>
                <w:szCs w:val="19"/>
              </w:rPr>
              <w:t xml:space="preserve">대등한 사익 조정: 신의칙, 권리남용 금지</w:t>
            </w:r>
          </w:p>
        </w:tc>
        <w:tc>
          <w:tcPr>
            <w:tcW w:type="dxa" w:w="4249"/>
            <w:tcBorders>
              <w:top w:val="single" w:color="BFC7D3" w:sz="4"/>
              <w:left w:val="single" w:color="BFC7D3" w:sz="4"/>
              <w:bottom w:val="single" w:color="BFC7D3" w:sz="4"/>
              <w:right w:val="single" w:color="BFC7D3" w:sz="4"/>
            </w:tcBorders>
            <w:tcMar>
              <w:top w:type="dxa" w:w="60"/>
              <w:left w:type="dxa" w:w="100"/>
              <w:bottom w:type="dxa" w:w="60"/>
              <w:right w:type="dxa" w:w="100"/>
            </w:tcMar>
          </w:tcPr>
          <w:p>
            <w:r>
              <w:rPr>
                <w:sz w:val="19"/>
                <w:szCs w:val="19"/>
              </w:rPr>
              <w:t xml:space="preserve">공익과 사익 형량: 과잉금지, 본질적 내용 침해 금지, 수인의무와 특별한 희생</w:t>
            </w:r>
          </w:p>
        </w:tc>
      </w:tr>
    </w:tbl>
    <w:p>
      <w:pPr>
        <w:spacing w:after="120"/>
      </w:pPr>
    </w:p>
    <w:p>
      <w:pPr>
        <w:pStyle w:val="Heading3"/>
      </w:pPr>
      <w:r>
        <w:t xml:space="preserve">Ⅴ. 현대적 변용: 공법과 사법의 상대화</w:t>
      </w:r>
    </w:p>
    <w:p>
      <w:pPr>
        <w:spacing w:after="120" w:line="340"/>
        <w:ind w:firstLine="220"/>
        <w:jc w:val="both"/>
      </w:pPr>
      <w:r>
        <w:t xml:space="preserve">오늘날 공·사법의 경계는 고정되어 있지 않다. 한편으로 </w:t>
      </w:r>
      <w:r>
        <w:rPr>
          <w:b/>
          <w:bCs/>
        </w:rPr>
        <w:t xml:space="preserve">사법의 공법화(사회화)</w:t>
      </w:r>
      <w:r>
        <w:t xml:space="preserve">가 진행되었다. 사회국가원리에 따라 노동법, 경제법(공정거래법), 소비자 관련 법률, 주택임대차보호법처럼 사인 간 관계에 국가가 개입하여 사적자치를 수정하는 </w:t>
      </w:r>
      <w:r>
        <w:rPr>
          <w:b/>
          <w:bCs/>
        </w:rPr>
        <w:t xml:space="preserve">사회법</w:t>
      </w:r>
      <w:r>
        <w:t xml:space="preserve"> 영역이 생겼다. 계약공정의 원리, 소유권의 공공성, 무과실책임의 도입이 그 예다. 다른 한편으로 </w:t>
      </w:r>
      <w:r>
        <w:rPr>
          <w:b/>
          <w:bCs/>
        </w:rPr>
        <w:t xml:space="preserve">공법의 사법화</w:t>
      </w:r>
      <w:r>
        <w:t xml:space="preserve">도 나타난다. 행정은 공법상 계약, 민간위탁, 사법 형식의 급부행정 등 사법적 수단을 널리 쓴다. 그러나 행정이 사법의 형식을 빌렸다고 공법적 구속에서 벗어날 수는 없으며(</w:t>
      </w:r>
      <w:r>
        <w:rPr>
          <w:b/>
          <w:bCs/>
        </w:rPr>
        <w:t xml:space="preserve">'사법으로의 도피' 금지</w:t>
      </w:r>
      <w:r>
        <w:t xml:space="preserve">), 기본권과 평등원칙 등에 구속된다(</w:t>
      </w:r>
      <w:r>
        <w:rPr>
          <w:b/>
          <w:bCs/>
        </w:rPr>
        <w:t xml:space="preserve">행정사법</w:t>
      </w:r>
      <w:r>
        <w:t xml:space="preserve">). 이처럼 경계가 상대화되었어도 적용 법규, 소송 형식, 강제 수단, 손해전보 체계가 여전히 다르므로 </w:t>
      </w:r>
      <w:r>
        <w:rPr>
          <w:b/>
          <w:bCs/>
        </w:rPr>
        <w:t xml:space="preserve">구별의 실익</w:t>
      </w:r>
      <w:r>
        <w:t xml:space="preserve">은 남아 있다.</w:t>
      </w:r>
    </w:p>
    <w:p>
      <w:pPr>
        <w:pStyle w:val="Heading3"/>
      </w:pPr>
      <w:r>
        <w:t xml:space="preserve">Ⅵ. 결론</w:t>
      </w:r>
    </w:p>
    <w:p>
      <w:pPr>
        <w:spacing w:after="120" w:line="340"/>
        <w:ind w:firstLine="220"/>
        <w:jc w:val="both"/>
      </w:pPr>
      <w:r>
        <w:t xml:space="preserve">공법과 사법의 구별은 근대 국가가 </w:t>
      </w:r>
      <w:r>
        <w:rPr>
          <w:b/>
          <w:bCs/>
        </w:rPr>
        <w:t xml:space="preserve">시장(사적자치)</w:t>
      </w:r>
      <w:r>
        <w:t xml:space="preserve">과 </w:t>
      </w:r>
      <w:r>
        <w:rPr>
          <w:b/>
          <w:bCs/>
        </w:rPr>
        <w:t xml:space="preserve">국가(공익과 법치)</w:t>
      </w:r>
      <w:r>
        <w:t xml:space="preserve">를 나누면서 만든 법질서의 기본 설계다. 사법은 개인의 자유로운 자기결정을 보장하고, 공법은 공익을 실현하는 권력을 법으로 묶어 그 권력이 다시 개인의 자유를 침해하지 않도록 한다. 오늘날 두 영역은 서로 스며들고 있지만, 사적 영역의 자율성을 존중하면서 공권력을 법적으로 통제한다는 구별의 목적은 여전히 유효하다. 공법관계와 사법관계를 정확히 구별하는 일은 결국 </w:t>
      </w:r>
      <w:r>
        <w:rPr>
          <w:b/>
          <w:bCs/>
        </w:rPr>
        <w:t xml:space="preserve">어떤 원리로 개인의 자유와 공동체의 이익을 조화시킬 것인가</w:t>
      </w:r>
      <w:r>
        <w:t xml:space="preserve">를 정하는 일이다.</w:t>
      </w:r>
    </w:p>
    <w:p>
      <w:pPr>
        <w:pStyle w:val="Heading2"/>
      </w:pPr>
      <w:r>
        <w:t xml:space="preserve">압축 답안 (시간이 부족할 때)</w:t>
      </w:r>
    </w:p>
    <w:p>
      <w:pPr>
        <w:spacing w:after="120" w:line="340"/>
        <w:ind w:firstLine="220"/>
        <w:jc w:val="both"/>
      </w:pPr>
      <w:r>
        <w:rPr>
          <w:b/>
          <w:bCs/>
        </w:rPr>
        <w:t xml:space="preserve">사법관계</w:t>
      </w:r>
      <w:r>
        <w:t xml:space="preserve">는 대등한 사인 간의 법률관계로 사적자치가 지배하며 의사 합치로 형성되고, </w:t>
      </w:r>
      <w:r>
        <w:rPr>
          <w:b/>
          <w:bCs/>
        </w:rPr>
        <w:t xml:space="preserve">공법관계</w:t>
      </w:r>
      <w:r>
        <w:t xml:space="preserve">는 행정주체가 공권력·공익 실현 주체로서 사인과 맺는 관계로 공익 실현과 법률적합성이 지배한다(권력관계·관리관계; 국가가 사인과 같은 지위에 서는 국고관계는 사법관계). 구별 기준으로 이익설·종속설·신주체설이 있으나 관계 법규의 목적·성질 등을 종합하여 판단한다(협의취득은 사법상 매매, 수용재결은 처분). 차이점은 ① 원리: 사적자치 vs 법률적합성과 행정법 일반원칙(비례·신뢰보호·자기구속·부당결부금지), ② 형성·절차: 계약·방식 자유 vs 처분과 행정절차법, ③ 효력: 공정력·불가쟁력, ④ 강제: 사인은 자력강제 불가(판결·민사집행) vs 행정청의 자력강제(대집행·이행강제금·강제징수), ⑤ 손해전보: 민법 제750조 vs 국가배상법(헌법 제29조)과 손실보상(헌법 제23조 제3항, 특별한 희생), ⑥ 쟁송: 민사소송법 vs 행정소송법(항고소송·당사자소송), ⑦ 형량: 대등한 사익 조정(신의칙·권리남용 금지) vs 공익 우위 아래의 과잉금지·본질적 내용 침해 금지다. 오늘날 사법의 사회화(노동법·경제법)와 공법의 사법화(공법상 계약·행정사법)로 경계가 상대화되었지만, 적용 법규와 구제 절차가 달라 구별의 실익은 여전하다.</w:t>
      </w:r>
    </w:p>
    <w:p>
      <w:pPr>
        <w:pBdr>
          <w:left w:val="single" w:color="1F3F8F" w:sz="18" w:space="8"/>
        </w:pBdr>
        <w:shd w:fill="E3E9F7" w:color="auto" w:val="clear"/>
        <w:spacing w:after="0" w:before="120"/>
        <w:ind w:left="160" w:right="160"/>
      </w:pPr>
      <w:r>
        <w:rPr>
          <w:b/>
          <w:bCs/>
          <w:color w:val="1F3F8F"/>
        </w:rPr>
        <w:t xml:space="preserve">핵심 키워드</w:t>
      </w:r>
    </w:p>
    <w:p>
      <w:pPr>
        <w:pBdr>
          <w:left w:val="single" w:color="1F3F8F" w:sz="18" w:space="8"/>
        </w:pBdr>
        <w:shd w:fill="E3E9F7" w:color="auto" w:val="clear"/>
        <w:spacing w:after="160"/>
        <w:ind w:left="160" w:right="160"/>
      </w:pPr>
      <w:r>
        <w:t xml:space="preserve">국가와 사회의 이원론 · 사적자치 vs 공익 실현 · 권력관계·관리관계·국고관계 · 국가적 공권/개인적 공권 · 이익설·종속설·신주체설 · 협의취득 vs 수용재결 · 법률적합성(법률 우위·유보) · 행정법 일반원칙 · 행정절차법 · 공정력·불가쟁력 · 자력강제 · 국가배상법·손실보상 · 수인의무·특별한 희생 · 행정소송법 · 사법의 공법화·공법의 사법화 · 행정사법</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57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abstractNum w:abstractNumId="5" w15:restartNumberingAfterBreak="0">
    <w:multiLevelType w:val="hybridMultilevel"/>
    <w:lvl w:ilvl="0" w15:tentative="1">
      <w:start w:val="1"/>
      <w:numFmt w:val="decimal"/>
      <w:lvlText w:val="%1."/>
      <w:lvlJc w:val="left"/>
      <w:pPr>
        <w:ind w:left="400" w:hanging="300"/>
      </w:pPr>
    </w:lvl>
  </w:abstractNum>
  <w:abstractNum w:abstractNumId="6" w15:restartNumberingAfterBreak="0">
    <w:multiLevelType w:val="hybridMultilevel"/>
    <w:lvl w:ilvl="0" w15:tentative="1">
      <w:start w:val="1"/>
      <w:numFmt w:val="decimal"/>
      <w:lvlText w:val="%1."/>
      <w:lvlJc w:val="left"/>
      <w:pPr>
        <w:ind w:left="400" w:hanging="300"/>
      </w:pPr>
    </w:lvl>
  </w:abstractNum>
  <w:abstractNum w:abstractNumId="7" w15:restartNumberingAfterBreak="0">
    <w:multiLevelType w:val="hybridMultilevel"/>
    <w:lvl w:ilvl="0" w15:tentative="1">
      <w:start w:val="1"/>
      <w:numFmt w:val="decimal"/>
      <w:lvlText w:val="%1."/>
      <w:lvlJc w:val="left"/>
      <w:pPr>
        <w:ind w:left="400" w:hanging="300"/>
      </w:pPr>
    </w:lvl>
  </w:abstractNum>
  <w:abstractNum w:abstractNumId="8" w15:restartNumberingAfterBreak="0">
    <w:multiLevelType w:val="hybridMultilevel"/>
    <w:lvl w:ilvl="0" w15:tentative="1">
      <w:start w:val="1"/>
      <w:numFmt w:val="decimal"/>
      <w:lvlText w:val="%1."/>
      <w:lvlJc w:val="left"/>
      <w:pPr>
        <w:ind w:left="400" w:hanging="300"/>
      </w:pPr>
    </w:lvl>
  </w:abstractNum>
  <w:abstractNum w:abstractNumId="9" w15:restartNumberingAfterBreak="0">
    <w:multiLevelType w:val="hybridMultilevel"/>
    <w:lvl w:ilvl="0" w15:tentative="1">
      <w:start w:val="1"/>
      <w:numFmt w:val="decimal"/>
      <w:lvlText w:val="%1."/>
      <w:lvlJc w:val="left"/>
      <w:pPr>
        <w:ind w:left="400" w:hanging="300"/>
      </w:pPr>
    </w:lvl>
  </w:abstractNum>
  <w:abstractNum w:abstractNumId="10" w15:restartNumberingAfterBreak="0">
    <w:multiLevelType w:val="hybridMultilevel"/>
    <w:lvl w:ilvl="0" w15:tentative="1">
      <w:start w:val="1"/>
      <w:numFmt w:val="decimal"/>
      <w:lvlText w:val="%1."/>
      <w:lvlJc w:val="left"/>
      <w:pPr>
        <w:ind w:left="400" w:hanging="300"/>
      </w:pPr>
    </w:lvl>
  </w:abstractNum>
  <w:abstractNum w:abstractNumId="11" w15:restartNumberingAfterBreak="0">
    <w:multiLevelType w:val="hybridMultilevel"/>
    <w:lvl w:ilvl="0" w15:tentative="1">
      <w:start w:val="1"/>
      <w:numFmt w:val="decimal"/>
      <w:lvlText w:val="%1."/>
      <w:lvlJc w:val="left"/>
      <w:pPr>
        <w:ind w:left="400" w:hanging="300"/>
      </w:pPr>
    </w:lvl>
  </w:abstractNum>
  <w:abstractNum w:abstractNumId="12" w15:restartNumberingAfterBreak="0">
    <w:multiLevelType w:val="hybridMultilevel"/>
    <w:lvl w:ilvl="0" w15:tentative="1">
      <w:start w:val="1"/>
      <w:numFmt w:val="decimal"/>
      <w:lvlText w:val="%1."/>
      <w:lvlJc w:val="left"/>
      <w:pPr>
        <w:ind w:left="400" w:hanging="300"/>
      </w:pPr>
    </w:lvl>
  </w:abstractNum>
  <w:abstractNum w:abstractNumId="13" w15:restartNumberingAfterBreak="0">
    <w:multiLevelType w:val="hybridMultilevel"/>
    <w:lvl w:ilvl="0" w15:tentative="1">
      <w:start w:val="1"/>
      <w:numFmt w:val="decimal"/>
      <w:lvlText w:val="%1."/>
      <w:lvlJc w:val="left"/>
      <w:pPr>
        <w:ind w:left="400" w:hanging="300"/>
      </w:pPr>
    </w:lvl>
  </w:abstractNum>
  <w:abstractNum w:abstractNumId="14" w15:restartNumberingAfterBreak="0">
    <w:multiLevelType w:val="hybridMultilevel"/>
    <w:lvl w:ilvl="0" w15:tentative="1">
      <w:start w:val="1"/>
      <w:numFmt w:val="decimal"/>
      <w:lvlText w:val="%1."/>
      <w:lvlJc w:val="left"/>
      <w:pPr>
        <w:ind w:left="400" w:hanging="300"/>
      </w:pPr>
    </w:lvl>
  </w:abstractNum>
  <w:abstractNum w:abstractNumId="15" w15:restartNumberingAfterBreak="0">
    <w:multiLevelType w:val="hybridMultilevel"/>
    <w:lvl w:ilvl="0" w15:tentative="1">
      <w:start w:val="1"/>
      <w:numFmt w:val="decimal"/>
      <w:lvlText w:val="%1."/>
      <w:lvlJc w:val="left"/>
      <w:pPr>
        <w:ind w:left="400" w:hanging="300"/>
      </w:pPr>
    </w:lvl>
  </w:abstractNum>
  <w:abstractNum w:abstractNumId="16" w15:restartNumberingAfterBreak="0">
    <w:multiLevelType w:val="hybridMultilevel"/>
    <w:lvl w:ilvl="0" w15:tentative="1">
      <w:start w:val="1"/>
      <w:numFmt w:val="decimal"/>
      <w:lvlText w:val="%1."/>
      <w:lvlJc w:val="left"/>
      <w:pPr>
        <w:ind w:left="400" w:hanging="300"/>
      </w:pPr>
    </w:lvl>
  </w:abstractNum>
  <w:abstractNum w:abstractNumId="17" w15:restartNumberingAfterBreak="0">
    <w:multiLevelType w:val="hybridMultilevel"/>
    <w:lvl w:ilvl="0" w15:tentative="1">
      <w:start w:val="1"/>
      <w:numFmt w:val="decimal"/>
      <w:lvlText w:val="%1."/>
      <w:lvlJc w:val="left"/>
      <w:pPr>
        <w:ind w:left="400" w:hanging="300"/>
      </w:pPr>
    </w:lvl>
  </w:abstractNum>
  <w:abstractNum w:abstractNumId="18" w15:restartNumberingAfterBreak="0">
    <w:multiLevelType w:val="hybridMultilevel"/>
    <w:lvl w:ilvl="0" w15:tentative="1">
      <w:start w:val="1"/>
      <w:numFmt w:val="decimal"/>
      <w:lvlText w:val="%1."/>
      <w:lvlJc w:val="left"/>
      <w:pPr>
        <w:ind w:left="400" w:hanging="300"/>
      </w:pPr>
    </w:lvl>
  </w:abstractNum>
  <w:abstractNum w:abstractNumId="19" w15:restartNumberingAfterBreak="0">
    <w:multiLevelType w:val="hybridMultilevel"/>
    <w:lvl w:ilvl="0" w15:tentative="1">
      <w:start w:val="1"/>
      <w:numFmt w:val="decimal"/>
      <w:lvlText w:val="%1."/>
      <w:lvlJc w:val="left"/>
      <w:pPr>
        <w:ind w:left="400" w:hanging="300"/>
      </w:pPr>
    </w:lvl>
  </w:abstractNum>
  <w:abstractNum w:abstractNumId="20" w15:restartNumberingAfterBreak="0">
    <w:multiLevelType w:val="hybridMultilevel"/>
    <w:lvl w:ilvl="0" w15:tentative="1">
      <w:start w:val="1"/>
      <w:numFmt w:val="decimal"/>
      <w:lvlText w:val="%1."/>
      <w:lvlJc w:val="left"/>
      <w:pPr>
        <w:ind w:left="400" w:hanging="300"/>
      </w:pPr>
    </w:lvl>
  </w:abstractNum>
  <w:abstractNum w:abstractNumId="21" w15:restartNumberingAfterBreak="0">
    <w:multiLevelType w:val="hybridMultilevel"/>
    <w:lvl w:ilvl="0" w15:tentative="1">
      <w:start w:val="1"/>
      <w:numFmt w:val="decimal"/>
      <w:lvlText w:val="%1."/>
      <w:lvlJc w:val="left"/>
      <w:pPr>
        <w:ind w:left="400" w:hanging="300"/>
      </w:pPr>
    </w:lvl>
  </w:abstractNum>
  <w:abstractNum w:abstractNumId="22" w15:restartNumberingAfterBreak="0">
    <w:multiLevelType w:val="hybridMultilevel"/>
    <w:lvl w:ilvl="0" w15:tentative="1">
      <w:start w:val="1"/>
      <w:numFmt w:val="decimal"/>
      <w:lvlText w:val="%1."/>
      <w:lvlJc w:val="left"/>
      <w:pPr>
        <w:ind w:left="400" w:hanging="300"/>
      </w:pPr>
    </w:lvl>
  </w:abstractNum>
  <w:abstractNum w:abstractNumId="23" w15:restartNumberingAfterBreak="0">
    <w:multiLevelType w:val="hybridMultilevel"/>
    <w:lvl w:ilvl="0" w15:tentative="1">
      <w:start w:val="1"/>
      <w:numFmt w:val="decimal"/>
      <w:lvlText w:val="%1."/>
      <w:lvlJc w:val="left"/>
      <w:pPr>
        <w:ind w:left="400" w:hanging="300"/>
      </w:pPr>
    </w:lvl>
  </w:abstractNum>
  <w:abstractNum w:abstractNumId="24" w15:restartNumberingAfterBreak="0">
    <w:multiLevelType w:val="hybridMultilevel"/>
    <w:lvl w:ilvl="0" w15:tentative="1">
      <w:start w:val="1"/>
      <w:numFmt w:val="decimal"/>
      <w:lvlText w:val="%1."/>
      <w:lvlJc w:val="left"/>
      <w:pPr>
        <w:ind w:left="400" w:hanging="300"/>
      </w:pPr>
    </w:lvl>
  </w:abstractNum>
  <w:abstractNum w:abstractNumId="25" w15:restartNumberingAfterBreak="0">
    <w:multiLevelType w:val="hybridMultilevel"/>
    <w:lvl w:ilvl="0" w15:tentative="1">
      <w:start w:val="1"/>
      <w:numFmt w:val="decimal"/>
      <w:lvlText w:val="%1."/>
      <w:lvlJc w:val="left"/>
      <w:pPr>
        <w:ind w:left="400" w:hanging="300"/>
      </w:pPr>
    </w:lvl>
  </w:abstractNum>
  <w:abstractNum w:abstractNumId="26" w15:restartNumberingAfterBreak="0">
    <w:multiLevelType w:val="hybridMultilevel"/>
    <w:lvl w:ilvl="0" w15:tentative="1">
      <w:start w:val="1"/>
      <w:numFmt w:val="decimal"/>
      <w:lvlText w:val="%1."/>
      <w:lvlJc w:val="left"/>
      <w:pPr>
        <w:ind w:left="400" w:hanging="300"/>
      </w:pPr>
    </w:lvl>
  </w:abstractNum>
  <w:abstractNum w:abstractNumId="27" w15:restartNumberingAfterBreak="0">
    <w:multiLevelType w:val="hybridMultilevel"/>
    <w:lvl w:ilvl="0" w15:tentative="1">
      <w:start w:val="1"/>
      <w:numFmt w:val="decimal"/>
      <w:lvlText w:val="%1."/>
      <w:lvlJc w:val="left"/>
      <w:pPr>
        <w:ind w:left="400" w:hanging="300"/>
      </w:pPr>
    </w:lvl>
  </w:abstractNum>
  <w:abstractNum w:abstractNumId="28" w15:restartNumberingAfterBreak="0">
    <w:multiLevelType w:val="hybridMultilevel"/>
    <w:lvl w:ilvl="0" w15:tentative="1">
      <w:start w:val="1"/>
      <w:numFmt w:val="decimal"/>
      <w:lvlText w:val="%1."/>
      <w:lvlJc w:val="left"/>
      <w:pPr>
        <w:ind w:left="400" w:hanging="300"/>
      </w:pPr>
    </w:lvl>
  </w:abstractNum>
  <w:abstractNum w:abstractNumId="29" w15:restartNumberingAfterBreak="0">
    <w:multiLevelType w:val="hybridMultilevel"/>
    <w:lvl w:ilvl="0" w15:tentative="1">
      <w:start w:val="1"/>
      <w:numFmt w:val="decimal"/>
      <w:lvlText w:val="%1."/>
      <w:lvlJc w:val="left"/>
      <w:pPr>
        <w:ind w:left="400" w:hanging="300"/>
      </w:pPr>
    </w:lvl>
  </w:abstractNum>
  <w:abstractNum w:abstractNumId="30" w15:restartNumberingAfterBreak="0">
    <w:multiLevelType w:val="hybridMultilevel"/>
    <w:lvl w:ilvl="0" w15:tentative="1">
      <w:start w:val="1"/>
      <w:numFmt w:val="decimal"/>
      <w:lvlText w:val="%1."/>
      <w:lvlJc w:val="left"/>
      <w:pPr>
        <w:ind w:left="400" w:hanging="300"/>
      </w:pPr>
    </w:lvl>
  </w:abstractNum>
  <w:abstractNum w:abstractNumId="31" w15:restartNumberingAfterBreak="0">
    <w:multiLevelType w:val="hybridMultilevel"/>
    <w:lvl w:ilvl="0" w15:tentative="1">
      <w:start w:val="1"/>
      <w:numFmt w:val="decimal"/>
      <w:lvlText w:val="%1."/>
      <w:lvlJc w:val="left"/>
      <w:pPr>
        <w:ind w:left="400" w:hanging="300"/>
      </w:pPr>
    </w:lvl>
  </w:abstractNum>
  <w:abstractNum w:abstractNumId="32" w15:restartNumberingAfterBreak="0">
    <w:multiLevelType w:val="hybridMultilevel"/>
    <w:lvl w:ilvl="0" w15:tentative="1">
      <w:start w:val="1"/>
      <w:numFmt w:val="decimal"/>
      <w:lvlText w:val="%1."/>
      <w:lvlJc w:val="left"/>
      <w:pPr>
        <w:ind w:left="400" w:hanging="300"/>
      </w:pPr>
    </w:lvl>
  </w:abstractNum>
  <w:abstractNum w:abstractNumId="33" w15:restartNumberingAfterBreak="0">
    <w:multiLevelType w:val="hybridMultilevel"/>
    <w:lvl w:ilvl="0" w15:tentative="1">
      <w:start w:val="1"/>
      <w:numFmt w:val="decimal"/>
      <w:lvlText w:val="%1."/>
      <w:lvlJc w:val="left"/>
      <w:pPr>
        <w:ind w:left="400" w:hanging="300"/>
      </w:pPr>
    </w:lvl>
  </w:abstractNum>
  <w:abstractNum w:abstractNumId="34" w15:restartNumberingAfterBreak="0">
    <w:multiLevelType w:val="hybridMultilevel"/>
    <w:lvl w:ilvl="0" w15:tentative="1">
      <w:start w:val="1"/>
      <w:numFmt w:val="decimal"/>
      <w:lvlText w:val="%1."/>
      <w:lvlJc w:val="left"/>
      <w:pPr>
        <w:ind w:left="400" w:hanging="300"/>
      </w:pPr>
    </w:lvl>
  </w:abstractNum>
  <w:abstractNum w:abstractNumId="35" w15:restartNumberingAfterBreak="0">
    <w:multiLevelType w:val="hybridMultilevel"/>
    <w:lvl w:ilvl="0" w15:tentative="1">
      <w:start w:val="1"/>
      <w:numFmt w:val="decimal"/>
      <w:lvlText w:val="%1."/>
      <w:lvlJc w:val="left"/>
      <w:pPr>
        <w:ind w:left="400" w:hanging="300"/>
      </w:pPr>
    </w:lvl>
  </w:abstractNum>
  <w:abstractNum w:abstractNumId="36" w15:restartNumberingAfterBreak="0">
    <w:multiLevelType w:val="hybridMultilevel"/>
    <w:lvl w:ilvl="0" w15:tentative="1">
      <w:start w:val="1"/>
      <w:numFmt w:val="decimal"/>
      <w:lvlText w:val="%1."/>
      <w:lvlJc w:val="left"/>
      <w:pPr>
        <w:ind w:left="400" w:hanging="300"/>
      </w:pPr>
    </w:lvl>
  </w:abstractNum>
  <w:abstractNum w:abstractNumId="37" w15:restartNumberingAfterBreak="0">
    <w:multiLevelType w:val="hybridMultilevel"/>
    <w:lvl w:ilvl="0" w15:tentative="1">
      <w:start w:val="1"/>
      <w:numFmt w:val="decimal"/>
      <w:lvlText w:val="%1."/>
      <w:lvlJc w:val="left"/>
      <w:pPr>
        <w:ind w:left="400" w:hanging="300"/>
      </w:pPr>
    </w:lvl>
  </w:abstractNum>
  <w:abstractNum w:abstractNumId="38" w15:restartNumberingAfterBreak="0">
    <w:multiLevelType w:val="hybridMultilevel"/>
    <w:lvl w:ilvl="0" w15:tentative="1">
      <w:start w:val="1"/>
      <w:numFmt w:val="decimal"/>
      <w:lvlText w:val="%1."/>
      <w:lvlJc w:val="left"/>
      <w:pPr>
        <w:ind w:left="400" w:hanging="300"/>
      </w:pPr>
    </w:lvl>
  </w:abstractNum>
  <w:abstractNum w:abstractNumId="39" w15:restartNumberingAfterBreak="0">
    <w:multiLevelType w:val="hybridMultilevel"/>
    <w:lvl w:ilvl="0" w15:tentative="1">
      <w:start w:val="1"/>
      <w:numFmt w:val="decimal"/>
      <w:lvlText w:val="%1."/>
      <w:lvlJc w:val="left"/>
      <w:pPr>
        <w:ind w:left="400" w:hanging="300"/>
      </w:pPr>
    </w:lvl>
  </w:abstractNum>
  <w:abstractNum w:abstractNumId="40" w15:restartNumberingAfterBreak="0">
    <w:multiLevelType w:val="hybridMultilevel"/>
    <w:lvl w:ilvl="0" w15:tentative="1">
      <w:start w:val="1"/>
      <w:numFmt w:val="decimal"/>
      <w:lvlText w:val="%1."/>
      <w:lvlJc w:val="left"/>
      <w:pPr>
        <w:ind w:left="400" w:hanging="300"/>
      </w:pPr>
    </w:lvl>
  </w:abstractNum>
  <w:abstractNum w:abstractNumId="41" w15:restartNumberingAfterBreak="0">
    <w:multiLevelType w:val="hybridMultilevel"/>
    <w:lvl w:ilvl="0" w15:tentative="1">
      <w:start w:val="1"/>
      <w:numFmt w:val="decimal"/>
      <w:lvlText w:val="%1."/>
      <w:lvlJc w:val="left"/>
      <w:pPr>
        <w:ind w:left="400" w:hanging="300"/>
      </w:pPr>
    </w:lvl>
  </w:abstractNum>
  <w:abstractNum w:abstractNumId="42"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eastAsia="Malgun Gothic" w:hAnsi="Malgun Gothic"/>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F8F" w:sz="12" w:space="4"/>
      </w:pBdr>
      <w:spacing w:after="200" w:before="240"/>
      <w:outlineLvl w:val="0"/>
    </w:pPr>
    <w:rPr>
      <w:rFonts w:ascii="Malgun Gothic" w:eastAsia="Malgun Gothic" w:hAnsi="Malgun Gothic"/>
      <w:b/>
      <w:bCs/>
      <w:color w:val="1F3F8F"/>
      <w:sz w:val="34"/>
      <w:szCs w:val="34"/>
    </w:rPr>
  </w:style>
  <w:style w:type="paragraph" w:styleId="Heading2">
    <w:name w:val="Heading 2"/>
    <w:basedOn w:val="Normal"/>
    <w:next w:val="Normal"/>
    <w:qFormat/>
    <w:pPr>
      <w:spacing w:after="120" w:before="320"/>
      <w:outlineLvl w:val="1"/>
    </w:pPr>
    <w:rPr>
      <w:rFonts w:ascii="Malgun Gothic" w:eastAsia="Malgun Gothic" w:hAnsi="Malgun Gothic"/>
      <w:b/>
      <w:bCs/>
      <w:color w:val="18202B"/>
      <w:sz w:val="27"/>
      <w:szCs w:val="27"/>
    </w:rPr>
  </w:style>
  <w:style w:type="paragraph" w:styleId="Heading3">
    <w:name w:val="Heading 3"/>
    <w:basedOn w:val="Normal"/>
    <w:next w:val="Normal"/>
    <w:qFormat/>
    <w:pPr>
      <w:spacing w:after="80" w:before="200"/>
      <w:outlineLvl w:val="2"/>
    </w:pPr>
    <w:rPr>
      <w:rFonts w:ascii="Malgun Gothic" w:eastAsia="Malgun Gothic" w:hAnsi="Malgun Gothic"/>
      <w:b/>
      <w:bCs/>
      <w:color w:val="1F3F8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법학입문 서술형 모범답안</dc:title>
  <dc:creator>Study notes</dc:creator>
  <cp:lastModifiedBy>Un-named</cp:lastModifiedBy>
  <cp:revision>1</cp:revision>
  <dcterms:created xsi:type="dcterms:W3CDTF">2026-10-17T10:23:39.614Z</dcterms:created>
  <dcterms:modified xsi:type="dcterms:W3CDTF">2026-10-17T10:23:39.614Z</dcterms:modified>
</cp:coreProperties>
</file>

<file path=docProps/custom.xml><?xml version="1.0" encoding="utf-8"?>
<Properties xmlns="http://schemas.openxmlformats.org/officeDocument/2006/custom-properties" xmlns:vt="http://schemas.openxmlformats.org/officeDocument/2006/docPropsVTypes"/>
</file>