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T07 · GridWatch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Learning Sessions 1–10 Evidence Audit and Closure Plan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Prepared ahead of Milestone 3 (Project Documentation, due 25 September 2026) · Gideon Kalimbo (222101881) &amp; Shikulo Tangeni (223016179)</w:t>
      </w:r>
    </w:p>
    <w:p>
      <w:pPr>
        <w:spacing w:after="120"/>
        <w:jc w:val="both"/>
      </w:pPr>
      <w:r>
        <w:t xml:space="preserve">This audit checks each of the ten SAS821S learning-session requirements against the evidence actually present in the current result files (incident_timeline_summary.json, simulation_results.json, uba_results.json, predictive_adversarial_results.json, supervised_model_results.json, nlp_textmining_results.json, eda_summary.json, and the supporting CSVs), plus the implementation plan and project charter. Every claim below is grounded in one of those artefacts. Three status levels are used: Achieved (evidence fully meets the requirement), Partially achieved (real evidence exists but a specific, nameable gap remains), and Gap (the requirement is materially unmet). For every non-Achieved item, a concrete closure action is given, scaled to the time remaining before the 25 September submission.</w:t>
      </w:r>
    </w:p>
    <w:p>
      <w:pPr>
        <w:pStyle w:val="Heading1"/>
        <w:spacing w:after="150" w:before="300"/>
      </w:pPr>
      <w:r>
        <w:t xml:space="preserve">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50"/>
      </w:tblGrid>
      <w:tr>
        <w:tc>
          <w:tcPr>
            <w:tcW w:type="dxa" w:w="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Course area</w:t>
            </w:r>
          </w:p>
        </w:tc>
        <w:tc>
          <w:tcPr>
            <w:tcW w:type="dxa" w:w="4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Foundations of security analytics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B34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Analytical software and tools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B34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Machine-learning fundamentals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Partially achieved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 learning in cybersecurity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Partially achieved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 and incident response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Partially achieved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intelligence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B34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analytics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Partially achieved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Simulations and security processes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Partially achieved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and text mining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B42318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security intelligence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Partially achieved</w:t>
            </w:r>
          </w:p>
        </w:tc>
      </w:tr>
    </w:tbl>
    <w:p>
      <w:pPr>
        <w:spacing w:after="200"/>
      </w:pP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1 — </w:t>
      </w:r>
      <w:r>
        <w:rPr>
          <w:b/>
          <w:bCs/>
          <w:color w:val="1F3864"/>
          <w:sz w:val="26"/>
          <w:szCs w:val="26"/>
        </w:rPr>
        <w:t xml:space="preserve">Foundations of security analytics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E7B34"/>
          <w:sz w:val="20"/>
          <w:szCs w:val="20"/>
        </w:rPr>
        <w:t xml:space="preserve">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Problem framing; descriptive, diagnostic, predictive and prescriptive analytics; data classification; analytics lifecycle.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Problem framed in the charter as a vendor-pathway IT/OT compromise decision (Charter Section 2) and carried through to a single decision statement in incident_timeline_summary.json.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Descriptive: eda_summary.json baselines the three structured sources — 323 vendor-auth sessions, 590 EDR events, 1,580 OT/IDS-historian events, mean session duration 22.2 min (std 13.7), mean logon hour 12:14.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Diagnostic: the competing-hypothesis test in incident_timeline_summary.json (legitimate maintenance vs. compromise) explains why the pattern occurred, not just that it did.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Predictive: predictive_adversarial_results.json scores every future vendor session for P(active compromise reaching ICS assets).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Prescriptive: the five containment/eradication/recovery actions plus the simulation's control ranking (MFA prioritised over segmentation) are direct 'what to do' outputs.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classification: identity/access (vendor_auth.csv), endpoint (edr_telemetry.csv), OT/process (ot_ids_historian.csv), and unstructured intelligence text (threat_intel corpus) are each handled with source-appropriate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Analytics lifecycle is traceable end-to-end: charter → data quality → modelling → investigation → simulation → intelligence → dashboard → recommendation.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2 — </w:t>
      </w:r>
      <w:r>
        <w:rPr>
          <w:b/>
          <w:bCs/>
          <w:color w:val="1F3864"/>
          <w:sz w:val="26"/>
          <w:szCs w:val="26"/>
        </w:rPr>
        <w:t xml:space="preserve">Analytical software and tools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E7B34"/>
          <w:sz w:val="20"/>
          <w:szCs w:val="20"/>
        </w:rPr>
        <w:t xml:space="preserve">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Tool selection; data ingestion, cleaning and transformation; reproducible Python/R or equivalent workflow.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Tools declared and justified: Python for data generation/analysis, RStudio for analysis and testing (implementation PDF, page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Named, modular scripts exist per component: supervised_model.py, uba.py, timeline.py, simulation.py, nlp_textmining.py, predictive_adversarial.py, generate_threat_intel.py — an auditable, reproducible pipeline rather than one monolithic notebook.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Cleaning/transformation log: eda_summary.json quality_log reports 0 null cells and 0 duplicate rows across all three structured sources, with documented derived fields (hour-of-day, off-hours flag, per-account z-scores, 48h lateral-host count).</w:t>
      </w:r>
    </w:p>
    <w:p>
      <w:pPr>
        <w:spacing w:after="40" w:before="120"/>
      </w:pPr>
      <w:r>
        <w:rPr>
          <w:b/>
          <w:bCs/>
          <w:color w:val="1E7B34"/>
        </w:rPr>
        <w:t xml:space="preserve">What is not yet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code repository has not yet been pushed to the shared GitHub workspace with both members as collaborators (implementation PDF Section 14 backlog); this is a submission-readiness gap, not an analytical one.</w:t>
      </w:r>
    </w:p>
    <w:p>
      <w:pPr>
        <w:spacing w:after="40" w:before="120"/>
      </w:pPr>
      <w:r>
        <w:rPr>
          <w:b/>
          <w:bCs/>
          <w:color w:val="1F3864"/>
        </w:rPr>
        <w:t xml:space="preserve">How to close the gap before 25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Push the existing local codebase to the group GitHub repository, add both members as collaborators, and confirm commit history is visible before the Milestone 3 deadline — this is required reproducibility-bundle evidence, independent of the analytical content.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3 — </w:t>
      </w:r>
      <w:r>
        <w:rPr>
          <w:b/>
          <w:bCs/>
          <w:color w:val="1F3864"/>
          <w:sz w:val="26"/>
          <w:szCs w:val="26"/>
        </w:rPr>
        <w:t xml:space="preserve">Machine-learning fundamentals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B7791F"/>
          <w:sz w:val="20"/>
          <w:szCs w:val="20"/>
        </w:rPr>
        <w:t xml:space="preserve">Partially 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Supervised and unsupervised methods; feature design; training/testing split; model evaluation.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Supervised: logistic regression and a depth-4 decision tree, both class-weight balanced (supervised_model_results.json).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Unsupervised: K-Means (k=2) peer-grouping of vendor accounts plus a rule-based deviation score for UBA (uba_results.json).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Feature design: 7 leakage-controlled session-level features (off_hours_flag, hour_zscore, duration_zscore, failed_logon, distinct_hosts_48h, edr_alerts_near, edr_high_crit_near) in vendor_session_features.csv, none derived from the ground-truth label or OT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Training/testing split: stratified 70/30 with a fixed random_state=42 (n_test = 97).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evaluation reported in full: confusion matrix, precision, recall, F1 and ROC-AUC for both algorithms.</w:t>
      </w:r>
    </w:p>
    <w:p>
      <w:pPr>
        <w:spacing w:after="40" w:before="120"/>
      </w:pPr>
      <w:r>
        <w:rPr>
          <w:b/>
          <w:bCs/>
          <w:color w:val="B7791F"/>
        </w:rPr>
        <w:t xml:space="preserve">What is not yet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Both models return precision = recall = F1 = 0.0 at the 0.3 threshold on the held-out test set. This is a direct consequence of extreme class imbalance (6 positive sessions out of 323 total; only 2 positive sessions fall into the 30% test split) rather than a modelling error, but as reported it looks like a non-functioning detector.</w:t>
      </w:r>
    </w:p>
    <w:p>
      <w:pPr>
        <w:spacing w:after="40" w:before="120"/>
      </w:pPr>
      <w:r>
        <w:rPr>
          <w:b/>
          <w:bCs/>
          <w:color w:val="1F3864"/>
        </w:rPr>
        <w:t xml:space="preserve">How to close the gap before 25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 the final report, do not present the confusion matrix in isolation — pair it with the ROC-AUC (0.821 for logistic regression) and the ranking result already on file: the top four highest-risk sessions by model score are all genuinely compromised sessions (implementation PDF Section 5, 'preliminary findings'). This is the technically correct and more defensible way to report a rare-event classifier at n=6 positives.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time allows, regenerate the synthetic dataset with more injected compromise scenarios (the team's own backlog target is ≥3 independent scenarios) so that stratified test-set recall &gt; 0 is achievable and reportable — this was already flagged as a High-priority, pre-submission backlog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Where regeneration isn't feasible in the remaining time, state explicitly in the Limitations section that held-out precision/recall are unstable at this sample size and that UBA (Session 7) is the corroborating control that recovers what the supervised model misses.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4 — </w:t>
      </w:r>
      <w:r>
        <w:rPr>
          <w:b/>
          <w:bCs/>
          <w:color w:val="1F3864"/>
          <w:sz w:val="26"/>
          <w:szCs w:val="26"/>
        </w:rPr>
        <w:t xml:space="preserve">Machine learning in cybersecurity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B7791F"/>
          <w:sz w:val="20"/>
          <w:szCs w:val="20"/>
        </w:rPr>
        <w:t xml:space="preserve">Partially 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A practical detector for phishing, malware, intrusion, fraud, access abuse or another security use case.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use case is squarely 'access abuse': vendor-account misuse of a remote-access pathway.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Class imbalance is explicitly reported (6 positive / 317 negative) and the alert threshold is deliberately lowered to 0.3 rather than the default 0.5, with a stated rationale — the cost of a missed compromise is judged higher than extra analyst triage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compensating detection path is documented: session S00321, a genuine compromise the supervised model scores as low-risk (0.078) because it lacks a corroborating EDR alert, is independently recovered by the Session 7 UBA method — a realistic SOC pattern of layered detection.</w:t>
      </w:r>
    </w:p>
    <w:p>
      <w:pPr>
        <w:spacing w:after="40" w:before="120"/>
      </w:pPr>
      <w:r>
        <w:rPr>
          <w:b/>
          <w:bCs/>
          <w:color w:val="B7791F"/>
        </w:rPr>
        <w:t xml:space="preserve">What is not yet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 a standalone detector, the model does not yet demonstrate a positive detection at the reported threshold on held-out data — the same root cause as Session 3.</w:t>
      </w:r>
    </w:p>
    <w:p>
      <w:pPr>
        <w:spacing w:after="40" w:before="120"/>
      </w:pPr>
      <w:r>
        <w:rPr>
          <w:b/>
          <w:bCs/>
          <w:color w:val="1F3864"/>
        </w:rPr>
        <w:t xml:space="preserve">How to close the gap before 25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Frame Session 4 evidence around the layered-detection narrative (supervised model + UBA + EDR/OT corroboration) rather than the supervised model in isolation — this is consistent with the governance principle already stated in predictive_adversarial_results.json ('never acted on in isolation').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Same data-expansion option as Session 3 applies if time permits before 25 September.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5 — </w:t>
      </w:r>
      <w:r>
        <w:rPr>
          <w:b/>
          <w:bCs/>
          <w:color w:val="1F3864"/>
          <w:sz w:val="26"/>
          <w:szCs w:val="26"/>
        </w:rPr>
        <w:t xml:space="preserve">Analytics and incident response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B7791F"/>
          <w:sz w:val="20"/>
          <w:szCs w:val="20"/>
        </w:rPr>
        <w:t xml:space="preserve">Partially 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Evidence correlation; incident timeline; containment, eradication, recovery and monitoring recommendations.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Evidence correlation: correlated_timeline.csv cross-references 47 events across vendor_auth, edr_telemetry and ot_ids_historian — exceeding the charter's own Objective 1 target of ≥6 events across ≥3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Incident timeline: incident_timeline_summary.json documents the investigation window (10–26 Aug 2026), affected users/assets (VEND-ACME-03; 7 engineering hosts; PLC-03 and RTU-05), and a competing-hypothesis test with 5 of 5 corroborating evidence types supporting compromise and none supporting legitimate maintenance (overall confidence: High).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Containment/eradication/recovery: five concrete actions are specified — suspend the vendor account's credentials, force MFA re-authentication for co-located vendor accounts, isolate affected engineering workstations pending forensic imaging, validate/roll back unauthorised PLC/RTU setpoints, and rotate credentials/certificates on the pathway.</w:t>
      </w:r>
    </w:p>
    <w:p>
      <w:pPr>
        <w:spacing w:after="40" w:before="120"/>
      </w:pPr>
      <w:r>
        <w:rPr>
          <w:b/>
          <w:bCs/>
          <w:color w:val="B7791F"/>
        </w:rPr>
        <w:t xml:space="preserve">What is not yet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Monitoring recommendations — the fourth named element in the brief — are not currently represented as a distinct item; the existing list covers containment, eradication and recovery only.</w:t>
      </w:r>
    </w:p>
    <w:p>
      <w:pPr>
        <w:spacing w:after="40" w:before="120"/>
      </w:pPr>
      <w:r>
        <w:rPr>
          <w:b/>
          <w:bCs/>
          <w:color w:val="1F3864"/>
        </w:rPr>
        <w:t xml:space="preserve">How to close the gap before 25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an explicit monitoring recommendation to close this out, e.g.: enable enhanced logging/alerting on the shared jump host and OT historian for the vendor's probation period; temporarily lower the UBA flagging threshold below the current 4.118 for VEND-ACME-03 and any account sharing its jump host; and require weekly SOC review of vendor session risk scores until the model is retrained on labelled post-incident data.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6 — </w:t>
      </w:r>
      <w:r>
        <w:rPr>
          <w:b/>
          <w:bCs/>
          <w:color w:val="1F3864"/>
          <w:sz w:val="26"/>
          <w:szCs w:val="26"/>
        </w:rPr>
        <w:t xml:space="preserve">Security intelligence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1E7B34"/>
          <w:sz w:val="20"/>
          <w:szCs w:val="20"/>
        </w:rPr>
        <w:t xml:space="preserve">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Priority intelligence requirements; intelligence cycle; actionable reporting for operational and executive audiences.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PIRs are explicitly defined and tied to the investigation: PIR-1 (are observed vendor-pathway TTPs consistent with known ICS/vendor supply-chain compromise?) and PIR-2 (which indicators should the SOC prioritise for earlier detection?).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intelligence cycle: collection (4 synthetic CISA/ICS-CERT-style advisories), processing (rule-based tactic/indicator extraction, TF-IDF + 2-topic LDA), analysis (5 of 5 case-evidence items matched to a named intelligence indicator, e.g. the case's off-hours logon anomaly maps to ADV-2026-014's 'off-hours vendor logons'), and dissemination (below).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Operational product: the case-to-intelligence mapping table surfaced on the dashboard's Threat Intelligence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Executive product: a drafted one-paragraph executive brief stating high-confidence compromise, the affected window, and that containment is in progress.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7 — </w:t>
      </w:r>
      <w:r>
        <w:rPr>
          <w:b/>
          <w:bCs/>
          <w:color w:val="1F3864"/>
          <w:sz w:val="26"/>
          <w:szCs w:val="26"/>
        </w:rPr>
        <w:t xml:space="preserve">Access analytics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B7791F"/>
          <w:sz w:val="20"/>
          <w:szCs w:val="20"/>
        </w:rPr>
        <w:t xml:space="preserve">Partially 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Identity or entity behaviour baseline; unusual access, privilege abuse, device, location or time-based anomalies.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Entity behaviour baseline: uba_results.json computes per-vendor-account peer groups (off-hours rate, mean session duration, mean lateral-host reach) across all 7 vendor accounts, then K-Means-clusters them into two peer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Time-based anomalies are strongly covered: off_hours_flag and hour_zscore are explicit features, and VEND-ACME-03's off-hours rate (6.9%) is the clear outlier against its peer group (0%).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Unusual access: a 95th-percentile deviation-score threshold (4.118) flags 17 of 323 sessions, validated against ground truth at 0.833 recall (5 of 6 injected compromise sessions, including the one the supervised model missed).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brief lists identity/time-based/privilege/device/location anomalies as alternatives ('or'), so the time-based + entity-baseline evidence already on file satisfies the letter of the requirement.</w:t>
      </w:r>
    </w:p>
    <w:p>
      <w:pPr>
        <w:spacing w:after="40" w:before="120"/>
      </w:pPr>
      <w:r>
        <w:rPr>
          <w:b/>
          <w:bCs/>
          <w:color w:val="B7791F"/>
        </w:rPr>
        <w:t xml:space="preserve">What is not yet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Location- and device-based anomaly detection are not separately modelled as features, even though 'atypical source IP' is referenced qualitatively as one of the five hypothesis-test evidence types in incident_timeline_summary.json — it isn't currently a quantified column in vendor_session_features.csv.</w:t>
      </w:r>
    </w:p>
    <w:p>
      <w:pPr>
        <w:spacing w:after="40" w:before="120"/>
      </w:pPr>
      <w:r>
        <w:rPr>
          <w:b/>
          <w:bCs/>
          <w:color w:val="1F3864"/>
        </w:rPr>
        <w:t xml:space="preserve">How to close the gap before 25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Low-effort strengthening option: derive an explicit atypical-source-IP flag from the existing source_ip column in vendor_auth.csv (e.g. distinct-IP-count per account, or deviation from the account's most common IP) and fold it into the UBA deviation score — this uses data you already have and directly operationalises evidence already cited qualitatively in the hypothesis test.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8 — </w:t>
      </w:r>
      <w:r>
        <w:rPr>
          <w:b/>
          <w:bCs/>
          <w:color w:val="1F3864"/>
          <w:sz w:val="26"/>
          <w:szCs w:val="26"/>
        </w:rPr>
        <w:t xml:space="preserve">Simulations and security processes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B7791F"/>
          <w:sz w:val="20"/>
          <w:szCs w:val="20"/>
        </w:rPr>
        <w:t xml:space="preserve">Partially 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Comparative simulation of at least three security-control scenarios; assumptions and limitations.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Four scenarios compared (exceeds the ≥3 minimum): baseline (no controls), network segmentation, vendor MFA, and segmentation + MFA combined (simulation_results.json).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Assumptions are explicitly documented: uniform 0.55 per-hop spread probability absent controls, segmentation fully blocks named nodes, MFA dampens spread probability by 60%, and a 4-hop cap approximating the case's dwell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Comparative result is clear and decision-relevant: MFA alone (mean blast radius 2.01, 75% reduction) outperforms segmentation alone (6.28, 22% reduction); combining both gives only marginal further benefit (1.52, 81% reduction) — directly supporting the prioritised recommendation to harden the vendor pathway with MFA first.</w:t>
      </w:r>
    </w:p>
    <w:p>
      <w:pPr>
        <w:spacing w:after="40" w:before="120"/>
      </w:pPr>
      <w:r>
        <w:rPr>
          <w:b/>
          <w:bCs/>
          <w:color w:val="B7791F"/>
        </w:rPr>
        <w:t xml:space="preserve">What is not yet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capstone brief's minimum-data-expectations section recommends Monte Carlo simulations normally use at least 1,000 iterations per scenario; the current run uses 200 iterations per scenario.</w:t>
      </w:r>
    </w:p>
    <w:p>
      <w:pPr>
        <w:spacing w:after="40" w:before="120"/>
      </w:pPr>
      <w:r>
        <w:rPr>
          <w:b/>
          <w:bCs/>
          <w:color w:val="1F3864"/>
        </w:rPr>
        <w:t xml:space="preserve">How to close the gap before 25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Re-run simulation.py with n_iterations ≥ 1,000 per scenario before final submission — this is a parameter change against an existing, working model, not new development, and directly closes a specific, checkable brief requirement. Refresh simulation_results.json and Figure 7/8 accordingly.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9 — </w:t>
      </w:r>
      <w:r>
        <w:rPr>
          <w:b/>
          <w:bCs/>
          <w:color w:val="1F3864"/>
          <w:sz w:val="26"/>
          <w:szCs w:val="26"/>
        </w:rPr>
        <w:t xml:space="preserve">Security and text mining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B42318"/>
          <w:sz w:val="20"/>
          <w:szCs w:val="20"/>
        </w:rPr>
        <w:t xml:space="preserve">Gap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Text preprocessing; entity/indicator extraction; classification, topic analysis, sentiment or another NLP technique.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Preprocessing pipeline is implemented: lower-casing, non-alphabetic character stripping, whitespace normalisation, TF-IDF vectorisation (max 200 features, English stop-words removed).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Entity/indicator extraction: rule-based MITRE ATT&amp;CK-for-ICS tactic mapping and a structured indicator list per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Topic analysis: 2-topic LDA over the TF-IDF matrix separates a 'vendor/credential-access' cluster from a 'process/setpoint' cluster, consistent with the case's two incident phases.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Operational link: all 5 pieces of Section 7 case evidence are matched to a named intelligence indicator (nlp_textmining_results.json, case_to_intelligence_links) — full 5/5 coverage.</w:t>
      </w:r>
    </w:p>
    <w:p>
      <w:pPr>
        <w:spacing w:after="40" w:before="120"/>
      </w:pPr>
      <w:r>
        <w:rPr>
          <w:b/>
          <w:bCs/>
          <w:color w:val="B42318"/>
        </w:rPr>
        <w:t xml:space="preserve">What is not yet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corpus is 4 synthetic documents. The charter's own data plan (Section 6) and the capstone brief's minimum data expectations both call for 15–30 properly cited public advisories; the brief additionally sets a course-wide floor of at least 200 unstructured text records for the text-mining component. At n=4, topic modelling is illustrative rather than statistically robust, and this is the single largest quantitative shortfall in the project against its own charter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was already identified as a High-priority backlog item due '1 week before final submission' — that internal deadline has now passed with the due date 3 days away.</w:t>
      </w:r>
    </w:p>
    <w:p>
      <w:pPr>
        <w:spacing w:after="40" w:before="120"/>
      </w:pPr>
      <w:r>
        <w:rPr>
          <w:b/>
          <w:bCs/>
          <w:color w:val="1F3864"/>
        </w:rPr>
        <w:t xml:space="preserve">How to close the gap before 25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Treat this as the top priority closure item. Source 15–30 real, publicly available ICS/vendor-supply-chain advisories (CISA/ICS-CERT advisories, ICS-focused vendor blogs such as Dragos/Claroty, ENISA reports) with proper citation, or generate a larger properly-labelled synthetic set consistent with the same authoring convention already used, then re-run nlp_textmining.py and refresh nlp_textmining_results.json, the topic model and the case-to-intelligence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full corpus expansion is not achievable in 3 days, expand to the largest defensible corpus you can manage (even partial progress toward 15 materially improves this line), and report the shortfall candidly in Limitations with a stated remediation plan rather than leaving it unaddressed — the rubric explicitly rewards honest limitations reporting.</w:t>
      </w:r>
    </w:p>
    <w:p>
      <w:pPr>
        <w:pStyle w:val="Heading1"/>
        <w:spacing w:after="100" w:before="400"/>
      </w:pPr>
      <w:r>
        <w:rPr>
          <w:b/>
          <w:bCs/>
          <w:color w:val="1F3864"/>
          <w:sz w:val="26"/>
          <w:szCs w:val="26"/>
        </w:rPr>
        <w:t xml:space="preserve">Session 10 — </w:t>
      </w:r>
      <w:r>
        <w:rPr>
          <w:b/>
          <w:bCs/>
          <w:color w:val="1F3864"/>
          <w:sz w:val="26"/>
          <w:szCs w:val="26"/>
        </w:rPr>
        <w:t xml:space="preserve">Advanced security intelligence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Status: </w:t>
      </w:r>
      <w:r>
        <w:rPr>
          <w:b/>
          <w:bCs/>
          <w:color w:val="B7791F"/>
          <w:sz w:val="20"/>
          <w:szCs w:val="20"/>
        </w:rPr>
        <w:t xml:space="preserve">Partially achieved</w:t>
      </w:r>
    </w:p>
    <w:p>
      <w:pPr>
        <w:spacing w:after="150"/>
      </w:pPr>
      <w:r>
        <w:rPr>
          <w:i/>
          <w:iCs/>
          <w:color w:val="595959"/>
          <w:sz w:val="20"/>
          <w:szCs w:val="20"/>
        </w:rPr>
        <w:t xml:space="preserve">Charter/brief requirement: </w:t>
      </w:r>
      <w:r>
        <w:rPr>
          <w:i/>
          <w:iCs/>
          <w:color w:val="595959"/>
          <w:sz w:val="20"/>
          <w:szCs w:val="20"/>
        </w:rPr>
        <w:t xml:space="preserve">Predictive risk, adversarial testing, model robustness, drift, governance and future-facing recommendations.</w:t>
      </w:r>
    </w:p>
    <w:p>
      <w:pPr>
        <w:spacing w:after="40" w:before="120"/>
      </w:pPr>
      <w:r>
        <w:rPr>
          <w:b/>
          <w:bCs/>
          <w:color w:val="1F3864"/>
        </w:rPr>
        <w:t xml:space="preserve">How it is achieved (evidence 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Predictive risk: a rolling, per-session P(active compromise reaching ICS assets) score, re-scored as each new vendor session occurs; 19 of 323 sessions currently sit at or above the 0.5 governance alert threshold (predictive_adversarial_results.json).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Adversarial testing: three cases evaluated, meeting the charter's ≥3 requirement — living-off-the-land tooling alone (score unchanged, still detected), LOTL + timing/duration mimicry (score drops to 0.539, still detected), and full behavioural mimicry combining LOTL, timing, duration and single-host lateral reach (score drops to 0.003, evades the alert threshold). 1 of 3 cases succeeds in evasion — a genuinely useful, non-trivial finding.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Drift and governance controls are explicit: rolling 28-day retraining window, monthly threshold review against realised precision/recall, a feature-drift check that flags retraining if peer-group baselines shift &gt;2 std from training values, and a hard governance rule that the model's output must always be fused with EDR/OT corroboration and never acted on alone — directly motivated by the successful evasion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Future-facing recommendations follow from the governance controls and the Section 14 backlog (corpus expansion, additional compromise scenarios, decision-tree adversarial extension, dashboard export function).</w:t>
      </w:r>
    </w:p>
    <w:p>
      <w:pPr>
        <w:spacing w:after="40" w:before="120"/>
      </w:pPr>
      <w:r>
        <w:rPr>
          <w:b/>
          <w:bCs/>
          <w:color w:val="B7791F"/>
        </w:rPr>
        <w:t xml:space="preserve">What is not yet 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Adversarial/robustness testing has only been run against the logistic regression scoring engine; the decision tree from Session 3 has not been adversarially tested, so 'model robustness' is currently demonstrated for one of the two candidate models only. This was already flagged as a Medium-priority backlog item.</w:t>
      </w:r>
    </w:p>
    <w:p>
      <w:pPr>
        <w:spacing w:after="40" w:before="120"/>
      </w:pPr>
      <w:r>
        <w:rPr>
          <w:b/>
          <w:bCs/>
          <w:color w:val="1F3864"/>
        </w:rPr>
        <w:t xml:space="preserve">How to close the gap before 25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time allows, re-run the same three adversarial cases against the decision-tree model and add a short comparative robustness discussion to Section 11 of the final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not, state in Limitations that adversarial evaluation covers the deployed scoring engine (logistic regression) only, and that decision-tree robustness is deferred — this is a defensible, disclosed scope decision rather than a silent omission.</w:t>
      </w:r>
    </w:p>
    <w:p>
      <w:pPr>
        <w:pStyle w:val="Heading1"/>
        <w:spacing w:after="150" w:before="300"/>
      </w:pPr>
      <w:r>
        <w:t xml:space="preserve">Prioritised closure checklist</w:t>
      </w:r>
    </w:p>
    <w:p>
      <w:pPr>
        <w:spacing w:after="120"/>
        <w:jc w:val="both"/>
      </w:pPr>
      <w:r>
        <w:t xml:space="preserve">The items below are ordered by rubric impact and effort. The first six are recommended as mandatory before submission; the last three are strengthening items to attempt only if time remains.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Expand the threat-intel corpus toward the 15–30 document target and re-run the NLP module (Session 9 — highest priority).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an explicit monitoring recommendation to the incident-response action list (Session 5).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Re-run the propagation simulation at ≥1,000 iterations per scenario (Session 8).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Member B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Reframe Sections 3–4 around ROC-AUC, top-4 ranking accuracy and the UBA-recovery narrative rather than the raw confusion matrix alone; disclose the small-n limitation explicitly.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the repository to the shared GitHub workspace with both members as collaborators.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and sign the individual contribution statement.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(Time permitting) Add an atypical-source-IP feature to strengthen Session 7 access analytics.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(Time permitting) Regenerate synthetic data with ≥3 independent compromise scenarios so supervised-model test recall &gt; 0.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Member A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(Time permitting) Extend adversarial testing to the decision-tree model (Session 10).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Member 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2026-09-22T09:13:38.502Z</dcterms:created>
  <dcterms:modified xsi:type="dcterms:W3CDTF">2026-09-22T09:13:38.510Z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