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Hiragino Sans GB" w:hAnsi="Hiragino Sans GB" w:eastAsia="Hiragino Sans GB" w:cs="Hiragino Sans GB"/>
          <w:sz w:val="32"/>
        </w:rPr>
        <w:t>Hiragino Sans GB：基金午间研究报告，等待或条件赎回。</w:t>
      </w:r>
    </w:p>
    <w:p>
      <w:r>
        <w:rPr>
          <w:rFonts w:ascii="Hiragino Sans GB W3" w:hAnsi="Hiragino Sans GB W3" w:eastAsia="Hiragino Sans GB W3" w:cs="Hiragino Sans GB W3"/>
          <w:sz w:val="32"/>
        </w:rPr>
        <w:t>Hiragino Sans GB W3：基金午间研究报告，等待或条件赎回。</w:t>
      </w:r>
    </w:p>
    <w:p>
      <w:r>
        <w:rPr>
          <w:rFonts w:ascii="STHeiti" w:hAnsi="STHeiti" w:eastAsia="STHeiti" w:cs="STHeiti"/>
          <w:sz w:val="32"/>
        </w:rPr>
        <w:t>STHeiti：基金午间研究报告，等待或条件赎回。</w:t>
      </w:r>
    </w:p>
    <w:p>
      <w:r>
        <w:rPr>
          <w:rFonts w:ascii="STHeiti Medium" w:hAnsi="STHeiti Medium" w:eastAsia="STHeiti Medium" w:cs="STHeiti Medium"/>
          <w:sz w:val="32"/>
        </w:rPr>
        <w:t>STHeiti Medium：基金午间研究报告，等待或条件赎回。</w:t>
      </w:r>
    </w:p>
    <w:p>
      <w:r>
        <w:rPr>
          <w:rFonts w:ascii="Songti SC" w:hAnsi="Songti SC" w:eastAsia="Songti SC" w:cs="Songti SC"/>
          <w:sz w:val="32"/>
        </w:rPr>
        <w:t>Songti SC：基金午间研究报告，等待或条件赎回。</w:t>
      </w:r>
    </w:p>
    <w:p>
      <w:r>
        <w:rPr>
          <w:rFonts w:ascii="PingFang SC" w:hAnsi="PingFang SC" w:eastAsia="PingFang SC" w:cs="PingFang SC"/>
          <w:sz w:val="32"/>
        </w:rPr>
        <w:t>PingFang SC：基金午间研究报告，等待或条件赎回。</w:t>
      </w:r>
    </w:p>
    <w:p>
      <w:r>
        <w:rPr>
          <w:rFonts w:ascii="Arial Unicode MS" w:hAnsi="Arial Unicode MS" w:eastAsia="Arial Unicode MS" w:cs="Arial Unicode MS"/>
          <w:sz w:val="32"/>
        </w:rPr>
        <w:t>Arial Unicode MS：基金午间研究报告，等待或条件赎回。</w:t>
      </w:r>
    </w:p>
    <w:p>
      <w:r>
        <w:rPr>
          <w:rFonts w:ascii="Apple LiGothic" w:hAnsi="Apple LiGothic" w:eastAsia="Apple LiGothic" w:cs="Apple LiGothic"/>
          <w:sz w:val="32"/>
        </w:rPr>
        <w:t>Apple LiGothic：基金午间研究报告，等待或条件赎回。</w:t>
      </w:r>
    </w:p>
    <w:p>
      <w:r>
        <w:rPr>
          <w:rFonts w:ascii="NISC18030" w:hAnsi="NISC18030" w:eastAsia="NISC18030" w:cs="NISC18030"/>
          <w:sz w:val="32"/>
        </w:rPr>
        <w:t>NISC18030：基金午间研究报告，等待或条件赎回。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