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Source Han Sans CN" w:hAnsi="Source Han Sans CN" w:eastAsia="Source Han Sans CN"/>
          <w:b/>
          <w:color w:val="0B2545"/>
          <w:sz w:val="44"/>
        </w:rPr>
        <w:t>2026-07-14 基金晚间决策型复盘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/>
          <w:sz w:val="20"/>
        </w:rPr>
        <w:t>生成时间：2026-07-14T20:34:00+08:00；账户范围：大陆场外开放式基金；盘中估值仅作信号，不是成交价。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结论先行：今日 A 股收盘修复强于午盘，但半导体资金与多数持仓技术结构仍未完全确认。已提交的景顺长城电子信息产业股票C 20% 赎回等待正式净值与平台确认；下一开放日不新增申购，不做账户级撤退。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只看这一页：行动结论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问题</w:t>
            </w:r>
          </w:p>
        </w:tc>
        <w:tc>
          <w:tcPr>
            <w:tcW w:type="dxa" w:w="737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结论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1）下一开放日卖不卖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继续持有：易方达沪深300ETF联接C、易方达半导体材料设备ETF联接C、国泰中证全指通信设备ETF联接C、华泰柏瑞中证沪港深云计算产业ETF联接C和QDII组合，等待正式净值和7月17日世界人工智能大会。优先减仓审查：景顺长城电子信息产业股票C已于7月14日提交约20%赎回（模型值432.92份）待确认；它按电子特气/半导体材料链暴露审查，不按泛电子行业简单处理。若未受理且7月15日电子特气、半导体材料或半导体资金再度转弱，可重新提交10%-15%。易方达信息行业精选股票C仅在电子/计算机资金重新转负且跌回弱势时审查15%-20%（模型值89.60-119.46份，按最新正式净值估算毛额约270.70-361.02元，费率0.5%口径）。触发即退出：暂无账户级退出项；财通集成电路产业股票C金额小且费率/状态未知，暂不动作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2）下一开放日买不买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不买。申购金额上限为0元。只有在现金真实余额、申购状态、费率确认，且NBS数据后宽基成交延续、电子/通信连续净流入、WAIC出现具体政策或订单时，才重新评估分批买入；本晚报不授权预埋申购。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3）跑不跑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需要账户级跑。当前是结构性降仓而非清仓：景顺长城电子信息产业股票C已做电子特气/半导体材料链弱势仓位的风险释放，其余等待确认。若账户高点回撤经真实流水确认达到8%，再切换到风险资产上限40%的纪律模式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4）概率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下一交易日组合：收涨40%、震荡35%、收跌25%。未来1-2周偏强概率45%，震荡35%，偏弱20%。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5）明天只做一件事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10:00看国家统计局数据后，到14:45只复核五个阈值；不在没有平台确认的情况下追加操作。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6）最多五个指标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沪指3900；上涨家数3500/1000；电子或半导体主力资金0/-300亿元；通信主力资金是否继续为正；沪深京成交额是否维持2.6万亿元以上。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7）推翻结论的证据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沪指跌回3900下、上涨家数少于1000、电子特气/半导体材料链和电子信息资金流出扩大，且景顺长城电子信息产业股票C、易方达信息行业精选股票C正式净值继续弱于沪深300。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持仓复述与正式净值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同步后持仓按最新正式净值估算总市值约 38,487.14 元。项目自检仍提示：组合历史为空，真实账户回撤无法计算；持仓市值与配置资金 30,000 元差异超过10%，现金比例不能直接采用配置值。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  <w:cantSplit w:val="true"/>
        </w:trPr>
        <w:tc>
          <w:tcPr>
            <w:tcW w:type="dxa" w:w="277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基金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份额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净值日</w:t>
            </w:r>
          </w:p>
        </w:tc>
        <w:tc>
          <w:tcPr>
            <w:tcW w:type="dxa" w:w="8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</w:t>
            </w:r>
          </w:p>
        </w:tc>
        <w:tc>
          <w:tcPr>
            <w:tcW w:type="dxa" w:w="113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估算市值</w:t>
            </w:r>
          </w:p>
        </w:tc>
        <w:tc>
          <w:tcPr>
            <w:tcW w:type="dxa" w:w="238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披露状态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易方达沪深300ETF联接C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5222.48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1.8823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9,830.27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1662.26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2.9478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4,900.01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2164.60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2.1446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4,642.20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695.91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4.1844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2,911.95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财通成长优选混合C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541.92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4.9840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2,700.93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480.25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4.0644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1,951.93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易方达信息行业精选股票C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597.32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3.0213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1,804.69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财通品质甄选混合C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779.36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2.2316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1,739.22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嘉实全球产业升级股票(QDII)C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318.81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4.3752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1,394.88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639.94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2.1602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1,382.40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天弘全球高端制造混合(QDII)C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396.76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3.0838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1,223.54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广发纳指100ETF联接(QDII)C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116.32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8.1669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949.98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信澳业绩驱动混合C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282.99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2.8609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809.61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财通集成电路产业股票C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103.83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7.2623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754.04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华夏移动互联灵活配置混合(QDII)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253.15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2.9720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752.37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建信新兴市场优选混合(QDII)A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204.69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2.5630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524.62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国富全球科技互联混合(QDII)人民币A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28.64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7.4301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212.83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中欧中证沪深港黄金产业股票指数A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1.18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1.4290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1.69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广泛信息面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A股收盘：上证指数3967.13（+1.36%），沪深300 4796.50（+2.15%），创业板指3851.14（+3.43%），科创50 2009.73（+0.77%）；沪深两市成交额约2.70万亿元。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市场宽度：上证和深证成分统计合计上涨约3967家、下跌约1234家，满足强修复的广度条件，但不是所有主题同步修复。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港股：恒生指数24340.73（+0.52%），恒生科技指数4679.46（+0.06%），对A股科技修复的确认偏弱。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海外：前一美股交易日纳指-1.55%、标普500-0.79%，全球科技链仍是反方压力。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央行：7月14日9:20公告开展2365亿元7天期逆回购，中标利率1.40%，偏流动性呵护，但不能单独解释行业上涨。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未来催化日历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119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日期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事件</w:t>
            </w:r>
          </w:p>
        </w:tc>
        <w:tc>
          <w:tcPr>
            <w:tcW w:type="dxa" w:w="141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新增/复核</w:t>
            </w:r>
          </w:p>
        </w:tc>
        <w:tc>
          <w:tcPr>
            <w:tcW w:type="dxa" w:w="340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传导链与反方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下一检查点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 10:00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国家统计局发布国民经济运行情况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复核：官方日程确认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宏观数据-&gt;宽基风险偏好；反方是数据后冲高回落或政策预期落空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14:45看沪深300、中证500、成交额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7/15-18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泰国总理访华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新增：外交部外事日程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外交-&gt;经贸/旅游/区域合作；反方是礼节性会见，无订单/政策细则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会见通稿是否有合作清单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7/16起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长鑫科技科创板申购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复核：继续scheduled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国产存储-&gt;设备材料/封测；反方是大IPO分流和估值已定价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申购热度、定价、半导体资金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7/17-20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WAIC暨AI全球治理高级别会议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复核：外交部确认最高层出席，上海市政府确认论坛与展品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AI战略-&gt;算力/芯片/通信/云；反方是大会已预告，若无具体政策可能兑现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7/17讲话全文和电子/通信连续资金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央行2365亿元7天逆回购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新增：官方公告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流动性-&gt;成交和风险偏好；反方是例行操作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7/15公开市场与成交延续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技术面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  <w:cantSplit w:val="true"/>
        </w:trPr>
        <w:tc>
          <w:tcPr>
            <w:tcW w:type="dxa" w:w="243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基金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净值日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相对MA20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相对MA60</w:t>
            </w:r>
          </w:p>
        </w:tc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RSI14</w:t>
            </w:r>
          </w:p>
        </w:tc>
        <w:tc>
          <w:tcPr>
            <w:tcW w:type="dxa" w:w="8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60日回撤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20日相对沪深300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易方达沪深300ETF联接C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-0.03372690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-0.02421618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42.23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0.06371866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0.00000000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0.00322804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0.27854753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58.85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0.14697209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0.26293163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多头排列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-0.05217543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0.04359589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47.57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0.12264768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0.10406479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-0.11230022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-0.03832101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41.34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0.20067653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-0.04621016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易方达信息行业精选股票C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-0.06214496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0.08856846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50.37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0.16944731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0.02543958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财通集成电路产业股票C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-0.17725595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0.02293167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40.12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0.25644517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-0.05974718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-0.12099639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-0.00549374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42.24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0.20655327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-0.05318184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广发纳指100ETF联接(QDII)C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0.00151940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0.02183559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52.74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0.07089915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-0.00890379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多头排列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0.02555095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0.01324920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55.53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0.10604524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0.06586786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站上20日线，结构未完全转强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技术结论：易方达半导体材料设备ETF联接C、华泰柏瑞中证沪港深云计算产业ETF联接C仍有相对强弱支撑；景顺长城电子信息产业股票C、易方达信息行业精选股票C、国泰中证全指通信设备ETF联接C和多数主动科技仓仍在20日线下。景顺长城电子信息产业股票C要按电子特气/半导体材料链验证，今天的价格修复尚未等于趋势恢复。QDII多只净值滞后，不能拿A股或美股盘中估算替代正式净值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主力资金动向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口径说明：所谓主力资金是行情软件基于逐笔成交方向的统计，不等同于机构真实账户流向；必须与价格、成交额、宽度和相对强弱交叉验证。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方向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行业</w:t>
            </w:r>
          </w:p>
        </w:tc>
        <w:tc>
          <w:tcPr>
            <w:tcW w:type="dxa" w:w="113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净额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价格验证</w:t>
            </w:r>
          </w:p>
        </w:tc>
        <w:tc>
          <w:tcPr>
            <w:tcW w:type="dxa" w:w="42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元件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+141.4亿元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+6.31%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AI硬件/PCB链条修复最强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印制电路板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+132.8亿元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+6.88%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与WAIC/算力硬件预期一致，但需看持续性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通信设备+通信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约+174.4亿元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+1.59%/+0.82%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国泰中证全指通信设备ETF联接C相关方向改善，支持继续观察而非追买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半导体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-124.2亿元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+0.17%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价格止跌但资金未确认，易方达半导体材料设备ETF联接C不减但不加；景顺长城电子信息产业股票C也受电子特气/半导体材料链资金验证约束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计算机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-49.3亿元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+0.08%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AI软件/应用端确认不足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判断：全市场不是集体出逃，而是强修复中的板块轮动。资金从部分半导体、计算机、军工电子流出，转向PCB、元件、通信和有色。对持仓的含义是：不追买科技，但也不把今日修复解读成账户级撤退信号。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情景预测与行动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  <w:cantSplit w:val="true"/>
        </w:trPr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周期</w:t>
            </w:r>
          </w:p>
        </w:tc>
        <w:tc>
          <w:tcPr>
            <w:tcW w:type="dxa" w:w="1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情景</w:t>
            </w:r>
          </w:p>
        </w:tc>
        <w:tc>
          <w:tcPr>
            <w:tcW w:type="dxa" w:w="62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概率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因果链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验证信号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行动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失效条件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基准：震荡偏强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宏观数据前风险偏好修复，科技内部继续分化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沪指&gt;3900、成交&gt;2.6万亿、通信为正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不买；景顺长城电子信息产业股票C确认后观察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电子特气/半导体材料链流出扩大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NBS数据不差+WAIC预期升温+资金扩散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上涨&gt;3500且电子/通信均为正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只取消新增减仓，不追申购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冲高回落且宽度收缩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海外科技压力或政策预期落空，半导体再流出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沪指&lt;3900、上涨&lt;1000、电子特气/半导体材料链相关资金流出扩大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重新审查易方达信息行业精选股票C和景顺长城电子信息产业股票C 10%-20%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沪指收复3900且流出收窄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基准：震荡修复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大会和宏观数据提供事件窗口，但正式政策仍未落地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宽基MA20修复、科技相对强弱不再恶化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维持仓位，先补数据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连续两日跌破关键位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WAIC出现具体算力/数据/应用政策或订单，成交延续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电子特气/半导体材料链和通信连续净流入，易方达半导体材料设备ETF联接C、华泰柏瑞中证沪港深云计算产业ETF联接C强于沪深300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再评估小额分批，当前不预埋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讲话无新增细则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事件已定价，技术修复失败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景顺长城电子信息产业股票C和易方达信息行业精选股票C正式净值继续弱于宽基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结构性降仓，不账户级清仓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宽基放量突破且资金扩散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对持仓的影响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宽基：易方达沪深300ETF联接C收盘确认修复，但7月14日正式净值待公布；继续持有，作为组合稳定器，不因盘中点位做申赎。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半导体材料与电子特气：易方达半导体材料设备ETF联接C技术相对最强但半导体资金未确认，继续持有不加仓；景顺长城电子信息产业股票C已提交20%结构性赎回，等待正式净值和平台确认。该基金不是泛“电子”处理，按广钢气体等电子特气/半导体材料链暴露审查；易方达信息行业精选股票C仅保留触发式审查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通信/云：通信资金与价格相互验证，国泰中证全指通信设备ETF联接C和华泰柏瑞中证沪港深云计算产业ETF联接C不减；但国泰中证全指通信设备ETF联接C正式净值待公布，不能按指数涨幅估算成交。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主动权益：财通成长优选混合C、财通品质甄选混合C今日正式净值修复，但多数仍低于MA20，不加仓；先观察明日宏观数据后的宽基延续。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QDII：广发纳指100ETF联接(QDII)C、华夏移动互联灵活配置混合(QDII)、建信新兴市场优选混合(QDII)A、国富全球科技互联混合(QDII)人民币A的净值仍停在7月10日；易方达全球成长精选混合(QDII)C、嘉实全球产业升级股票(QDII)C、天弘全球高端制造混合(QDII)C到7月13日。只做风险观察，不用A股收盘替代其正式净值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午报14:30-15:00操作卡复盘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午报阈值复核：确认破位三条件没有触发。14:32记录显示沪指3952.10、上涨4029家，强价格修复成立；电子主力资金仍约-41.1亿元，成交投射约2.76万亿元，低于强资金确认阈值，因此触发的是“强修复但资金未确认”的分支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用户已提交景顺长城电子信息产业股票C赎回申请（交易账本记录时间：2026-07-14T14:43:59+08:00，状态为submitted）。若平台确在15:00前受理，普通场外基金预计适用2026-07-14未知价正式净值；截至本报告该基金的7月14日正式净值仍待公布，不能判定成交结果、费用后价值或午报胜负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只有收盘后才确认的信号：上证3967.13、沪深成交约2.70万亿元、板块资金最终分布。这些只能用于7月15日及之后的开放日决策，不能伪装成可按7月14日收盘净值重新提交。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账户8%回撤纪律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组合历史为空，无法计算真实高点和账户回撤。按项目纪律，若用户补录真实现金、天弘沪深港创新药50ETF联接C确认、景顺长城电子信息产业股票C确认净值和完整流水后，账户从历史高点回撤达到8%，则停止新增申购，风险资产上限降至40%，并进入至少5个有记录交易日的冷静期。当前不能把未知回撤当作0，也不能据此追加买入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审计与滚动指标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今日午报原始预测仍为pending：正式NAV和平台确认未完成。实际执行、按原建议模型执行、完全不操作和宽基基准四项比较暂不能计算。历史日志样本少，native实时已到7条以内且多条未到评估日；不得宣称胜率提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指标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当前值</w:t>
            </w:r>
          </w:p>
        </w:tc>
        <w:tc>
          <w:tcPr>
            <w:tcW w:type="dxa" w:w="5669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可解析日志样本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8条（含回填）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回填记录不冒充实时样本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已完成评估样本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0条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正式净值/执行数据不足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方向命中率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不报告胜率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Brier分数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需要概率和实际结果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相对不操作费用后增益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景顺长城电子信息产业股票C仍待正式净值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最大不利波动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缺少组合历史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今日教学：资金确认不等于价格上涨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概念：价格上涨说明有人愿意用更高价格成交，但资金确认要看上涨是否由广度、成交额、相对强弱和主力资金共同支持。若只有少数链条上涨，场外基金不应追逐当天情绪。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持仓例子：易方达半导体材料设备ETF联接C今日拿到7月14日正式净值2.9478，仍在MA20上方，但半导体行业主力资金净流出约124.2亿元。因此结论是继续持有、等待世界人工智能大会和长鑫科技事件验证，而不是新增申购。景顺长城电子信息产业股票C则要额外看电子特气/半导体材料链是否修复，因为官方一季报显示其第一大重仓是广钢气体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来源与时间戳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项目文件：AGENTS.md、config/trading-constraints.json、config/noon-decision-rules.json、config/review-loop.json、data/catalyst-ledger.csv、data/decision-journal.csv、data/nav-history.csv，抓取/生成时间见各文件。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基金净值：东方财富基金 pingzhongdata，同步时间2026-07-14T12:30:21Z；正式净值只采用is_estimate=false记录。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行情：腾讯行情 https://qt.gtimg.cn/；东方财富板块资金 https://push2.eastmoney.com/，抓取时间约2026-07-14晚间。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央行公开市场公告：https://www.pbc.gov.cn/zhengcehuobisi/125207/125213/125431/125475/2026071409063784437/index.html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国家统计局发布日程：https://www.stats.gov.cn/sj/fbrc/bnxxfb/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外交部外事日程：https://www.mfa.gov.cn/web/wjdt_674879/wsrc_674883/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上海市政府WAIC信息：https://www.shanghai.gov.cn/nw4411/20260708/ba4c8e75f2744b43a6080ebb82a3aab2.html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景顺长城电子信息产业股票2026年第1季度报告：官方季报显示第一大重仓为广钢气体，占基金资产净值9.27%，据此把该基金按电子特气/半导体材料链暴露审查。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Han Sans CN" w:hAnsi="Source Han Sans CN" w:eastAsia="Source Han Sans C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