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40" w:lineRule="auto"/>
      </w:pPr>
      <w:r>
        <w:rPr>
          <w:rFonts w:ascii="Calibri" w:hAnsi="Calibri" w:eastAsia="Arial Unicode MS"/>
          <w:b/>
          <w:i w:val="0"/>
          <w:color w:val="000000"/>
          <w:sz w:val="48"/>
        </w:rPr>
        <w:t>基金仓位复述与市场复盘</w:t>
      </w:r>
    </w:p>
    <w:p>
      <w:pPr>
        <w:spacing w:before="0" w:after="320" w:line="240" w:lineRule="auto"/>
      </w:pPr>
      <w:r>
        <w:rPr>
          <w:rFonts w:ascii="Calibri" w:hAnsi="Calibri" w:eastAsia="Arial Unicode MS"/>
          <w:b w:val="0"/>
          <w:i w:val="0"/>
          <w:color w:val="667085"/>
          <w:sz w:val="24"/>
        </w:rPr>
        <w:t>2026年7月13日收盘后｜仓位底稿截至7月12日截图口径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00000"/>
          <w:sz w:val="21"/>
        </w:rPr>
        <w:t>账户定位：</w:t>
      </w:r>
      <w:r>
        <w:rPr>
          <w:rFonts w:ascii="Calibri" w:hAnsi="Calibri" w:eastAsia="Arial Unicode MS"/>
          <w:b w:val="0"/>
          <w:i w:val="0"/>
          <w:color w:val="000000"/>
          <w:sz w:val="21"/>
        </w:rPr>
        <w:t>中国大陆场外公募基金；人工确认交易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00000"/>
          <w:sz w:val="21"/>
        </w:rPr>
        <w:t>报告范围：</w:t>
      </w:r>
      <w:r>
        <w:rPr>
          <w:rFonts w:ascii="Calibri" w:hAnsi="Calibri" w:eastAsia="Arial Unicode MS"/>
          <w:b w:val="0"/>
          <w:i w:val="0"/>
          <w:color w:val="000000"/>
          <w:sz w:val="21"/>
        </w:rPr>
        <w:t>持仓迁移核对、今日信息面、技术面与风险审计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00000"/>
          <w:sz w:val="21"/>
        </w:rPr>
        <w:t>数据时点：</w:t>
      </w:r>
      <w:r>
        <w:rPr>
          <w:rFonts w:ascii="Calibri" w:hAnsi="Calibri" w:eastAsia="Arial Unicode MS"/>
          <w:b w:val="0"/>
          <w:i w:val="0"/>
          <w:color w:val="000000"/>
          <w:sz w:val="21"/>
        </w:rPr>
        <w:t>A股/港股截至7月13日收盘；美股仅截至7月10日收盘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00000"/>
          <w:sz w:val="21"/>
        </w:rPr>
        <w:t>重要限制：</w:t>
      </w:r>
      <w:r>
        <w:rPr>
          <w:rFonts w:ascii="Calibri" w:hAnsi="Calibri" w:eastAsia="Arial Unicode MS"/>
          <w:b w:val="0"/>
          <w:i w:val="0"/>
          <w:color w:val="000000"/>
          <w:sz w:val="21"/>
        </w:rPr>
        <w:t>已补齐公开历史净值；份额、确认日期、费率与现金余额仍不完整</w:t>
      </w:r>
    </w:p>
    <w:p>
      <w:pPr>
        <w:pStyle w:val="Heading1"/>
      </w:pPr>
      <w:r>
        <w:t>一、先复述你的仓位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22"/>
              </w:rPr>
              <w:t xml:space="preserve">迁移结论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底稿共19条。剔除“创新药已卖出、待确认”后，当前暂按18只在持，市值 39,504.96 元，估算成本 39,560.65 元，截图口径浮亏 55.69 元（-0.14%）。若把待确认卖出的1,421.58元也计入，截图总额为 40,926.54 元。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口头版复述：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你以沪深300作为最大单一底仓，同时叠加半导体材料设备、电子信息、通信设备、云计算和多只科技主动基金；海外部分由全球成长、全球产业升级、高端制造、纳指100及若干科技QDII组成。仓位数量多、科技因子重叠明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50"/>
        <w:gridCol w:w="3860"/>
        <w:gridCol w:w="1300"/>
        <w:gridCol w:w="1050"/>
        <w:gridCol w:w="1100"/>
        <w:gridCol w:w="1100"/>
      </w:tblGrid>
      <w:tr>
        <w:trPr>
          <w:tblHeader w:val="true"/>
        </w:trPr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代码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基金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市值（元）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占在持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持有收益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8"/>
              </w:rPr>
              <w:t>状态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007339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易方达沪深300ETF联接C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9,994.26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25.30%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-5.74 / -0.06%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021894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易方达半导体材料设备ETF联接C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5,129.73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12.99%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+129.73 / +2.59%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010004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景顺长城电子信息产业股票C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4,875.76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12.34%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-124.24 / -2.48%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012922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易方达全球成长精选混合(QDII)C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3,077.02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7.79%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+805.82 / +35.48%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021528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财通成长优选混合C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2,614.76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6.62%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-292.21 / -10.05%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007818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国泰中证全指通信设备ETF联接C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2,045.19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5.18%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+45.19 / +2.26%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019024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易方达信息行业精选股票C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1,808.03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4.58%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-191.97 / -9.60%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024481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财通品质甄选混合C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1,687.70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4.27%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-312.30 / -15.61%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017731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嘉实全球产业升级股票(QDII)C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1,453.06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3.68%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+153.06 / +11.77%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7"/>
              </w:rPr>
              <w:t>014565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7"/>
              </w:rPr>
              <w:t>天弘沪深港创新药50ETF联接C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7"/>
              </w:rPr>
              <w:t>1,421.58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7"/>
              </w:rPr>
              <w:t>—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7"/>
              </w:rPr>
              <w:t>+0.00 / +0.00%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7"/>
              </w:rPr>
              <w:t>已卖待确认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019331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华泰柏瑞中证沪港深云计算产业ETF联接C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1,404.54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3.56%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+4.54 / +0.32%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016665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天弘全球高端制造混合(QDII)C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1,313.53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3.32%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+13.53 / +1.04%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006479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广发纳指100ETF联接(QDII)C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949.98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2.40%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+99.98 / +11.76%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016371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信澳业绩驱动混合C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848.69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2.15%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-151.31 / -15.13%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006503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财通集成电路产业股票C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811.22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2.05%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-188.78 / -18.88%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002891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华夏移动互联灵活配置混合(QDII)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752.37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1.90%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-47.63 / -5.95%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539002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建信新兴市场优选混合(QDII)A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524.62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1.33%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-5.38 / -1.01%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006373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国富全球科技互联混合(QDII)人民币A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212.83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0.54%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+12.83 / +6.41%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021873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中欧中证沪深港黄金产业股票指数A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1.67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0.00%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7"/>
              </w:rPr>
              <w:t>-0.81 / -32.82%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暂按在持</w:t>
            </w:r>
          </w:p>
        </w:tc>
      </w:tr>
    </w:tbl>
    <w:p>
      <w:pPr>
        <w:pStyle w:val="Heading1"/>
      </w:pPr>
      <w:r>
        <w:t>二、仓位结构与迁移质量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700"/>
        <w:gridCol w:w="3300"/>
        <w:gridCol w:w="1900"/>
        <w:gridCol w:w="24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检查项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当前口径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项目约束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结论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持仓数量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18只在持 + 1只待确认卖出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最多3只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明显不一致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最大单只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沪深300 25.30%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不高于25%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轻微超限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显性科技主题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至少 43.13%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主题不高于40%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已超；实际或更高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QDII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8,283.41元 / 20.97%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不高于25%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口径内未超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资金规模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在持市值 39,504.96元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配置本金30,000元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配置可能已过期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现金与回撤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现金未知；无组合历史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现金≥25%；回撤8%降仓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无法核验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4CE"/>
          <w:left w:val="single" w:sz="2" w:color="FFF4CE"/>
          <w:bottom w:val="single" w:sz="2" w:color="FFF4CE"/>
          <w:right w:val="single" w:sz="2" w:color="FFF4CE"/>
          <w:insideH w:val="single" w:sz="2" w:color="FFF4CE"/>
          <w:insideV w:val="single" w:sz="2" w:color="FFF4C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2"/>
              </w:rPr>
              <w:t xml:space="preserve">迁移缺口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当前只有截图估值，没有基金份额、申购/确认日期、已确认净值、交易流水、现金余额和适用费率。因而不能准确计算7月13日账户收益、持有期赎回费或账户从高点回撤。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t>三、今天的信息面复盘</w:t>
      </w:r>
    </w:p>
    <w:p>
      <w:pPr>
        <w:pStyle w:val="Heading2"/>
      </w:pPr>
      <w:r>
        <w:t>1. 外部冲击：地缘风险抬升油价与利率压力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事实。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周末中东冲突再度升级，7月13日全球风险资产承压。AP报道亚洲交易时段韩国KOSPI下跌8.9%；美国10年期国债收益率升至4.59%，高于上周五的4.56%。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因果链。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冲突升级 → 原油与通胀风险上升 → 降息预期受压、长端利率抬升 → 高估值成长资产折现率上升。你的半导体、通信、电子信息和全球成长仓位对这一链条更敏感。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反方解释。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今天并非单纯由地缘事件造成。前期AI硬件拥挤、估值偏高和中报盈利验证压力，可能才是内部主因；外部冲击更像触发器和放大器。</w:t>
      </w:r>
    </w:p>
    <w:p>
      <w:pPr>
        <w:pStyle w:val="Heading2"/>
      </w:pPr>
      <w:r>
        <w:t>2. A股内部：科技拥挤交易进入盈利验证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事实。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上周股票ETF净流入约828亿元，半导体材料设备相关ETF是主要吸金方向；但今天存储、PCB、先进封装、光纤光通信等高位方向集中回撤。7月又进入中报业绩预告密集期，资金从“叙事定价”转向订单、利润和估值匹配。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市场验证。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银行、石油天然气、煤炭、燃气等防御与资源方向相对占优，而电子元器件、半导体、电脑硬件和光通信明显承压，符合“高拥挤成长降温、资金向防御再平衡”的解释。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明日事件。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国家统计局日程显示7月14日9:30将发布国民经济运行相关数据。若数据或政策预期明显偏离市场预期，可能改变宽基与成长风格的相对表现。</w:t>
      </w:r>
    </w:p>
    <w:p>
      <w:pPr>
        <w:pStyle w:val="Heading1"/>
      </w:pPr>
      <w:r>
        <w:t>四、今天的技术面复盘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2200"/>
        <w:gridCol w:w="3500"/>
        <w:gridCol w:w="216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观察对象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7月13日表现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技术含义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对应持仓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沪深300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-1.79%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跌幅小于成长指数，权重价值相对抗跌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沪深300联接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上证指数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-2.06%，3913.79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早盘-0.75%后继续走弱，日内承接不足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宽基/主动A股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深证成指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-3.48%，14522.85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成长与科技权重拖累明显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电子、半导体、通信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创业板指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-3.10%，3723.52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高弹性成长弱于沪深300约1.31个百分点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主动成长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科创综指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-4.36%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高估值硬科技是主要风险释放区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半导体材料设备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市场宽度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超4600股下跌；逾170股跌停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不是少数权重拖累，而是广泛风险收缩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几乎全部A股仓位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两市成交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2.8178万亿元；缩量5708亿元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跌价缩量说明抛压与接盘同时退潮，尚非放量恐慌出清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观察次日修复质量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恒生指数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+0.16%；成交3095亿港元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大盘横住，但内部风格分化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沪港深与港股QDII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恒生科技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8"/>
              </w:rPr>
              <w:t>-0.96%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科技弱于恒指1.12个百分点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云计算、全球成长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美股上周五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纳指+0.3%，周+1.7%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海外趋势截至周五仍偏强；周一未收盘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纳指及海外科技QDII</w:t>
            </w:r>
          </w:p>
        </w:tc>
      </w:tr>
    </w:tbl>
    <w:p>
      <w:pPr>
        <w:spacing w:before="16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技术结论。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今天是“低开—弱反弹—继续走低”的广泛风险收缩日，且科技成长显著弱于宽基。缩量大跌不等于止跌：它说明买盘退缩，但尚未出现足以确认筹码充分交换的放量企稳。短线需要等待价格、成交和市场宽度同时改善。</w:t>
      </w:r>
    </w:p>
    <w:p>
      <w:pPr>
        <w:pStyle w:val="Heading2"/>
      </w:pPr>
      <w:r>
        <w:t>持仓基金的净值技术指标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6F4EA"/>
          <w:left w:val="single" w:sz="2" w:color="E6F4EA"/>
          <w:bottom w:val="single" w:sz="2" w:color="E6F4EA"/>
          <w:right w:val="single" w:sz="2" w:color="E6F4EA"/>
          <w:insideH w:val="single" w:sz="2" w:color="E6F4EA"/>
          <w:insideV w:val="single" w:sz="2" w:color="E6F4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6F4E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256D4A"/>
                <w:sz w:val="22"/>
              </w:rPr>
              <w:t xml:space="preserve">数据已主动补齐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已从公开基金净值页面同步19只基金共23,428条正式历史净值。12只境内基金最新净值日期为7月13日；7只QDII最新为7月10日，属于跨时区净值确认时滞，不当作7月13日盘中价格。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组合读数。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剔除已卖待确认的创新药后，18只在持基金中只有3只站上20日均线，对应截图市值7,484.25元、占在持市值18.95%；其余15只占81.05%，均在20日均线下。RSI集中在40.12—59.10，没有极端超买或超卖，说明当前更像趋势降温与结构分化，而不是单一指标给出的反转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820"/>
        <w:gridCol w:w="1900"/>
        <w:gridCol w:w="1420"/>
        <w:gridCol w:w="1100"/>
        <w:gridCol w:w="1100"/>
        <w:gridCol w:w="900"/>
        <w:gridCol w:w="2120"/>
      </w:tblGrid>
      <w:tr>
        <w:trPr>
          <w:tblHeader w:val="true"/>
        </w:trPr>
        <w:tc>
          <w:tcPr>
            <w:tcW w:type="dxa" w:w="8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代码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基金（简称）</w:t>
            </w:r>
          </w:p>
        </w:tc>
        <w:tc>
          <w:tcPr>
            <w:tcW w:type="dxa" w:w="1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最新净值/日期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相对MA20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相对MA60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RSI14</w:t>
            </w:r>
          </w:p>
        </w:tc>
        <w:tc>
          <w:tcPr>
            <w:tcW w:type="dxa" w:w="2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7"/>
              </w:rPr>
              <w:t>结构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007339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沪深300联接C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1.8823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-3.37%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-2.42%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42.23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021894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半导体材料设备C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2.9538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+1.48%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+29.41%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59.10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多头排列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010004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电子信息产业C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2.1446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-5.22%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+4.36%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47.57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012922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全球成长QDII 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4.4216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-7.39%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+5.48%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47.73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021528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财通成长优选C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4.5180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-15.91%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+4.61%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41.65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007818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通信设备联接C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4.0644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-11.23%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-3.83%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41.34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019024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信息行业精选C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2.8973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-10.09%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+4.99%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45.17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024481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财通品质甄选C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2.0279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-16.14%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+4.58%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41.60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017731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全球产业升级QDII 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4.5577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-0.92%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+12.34%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54.50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16"/>
              </w:rPr>
              <w:t>014565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创新药50联接C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1.1934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+7.56%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+7.65%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64.32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已卖待确认；多头排列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019331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沪深港云计算C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2.1602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+2.56%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+1.32%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55.53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站上20日线，结构未完全转强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016665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全球高端制造QDII 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3.3106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-8.06%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+2.29%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46.34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006479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纳指100 QDII 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8.1669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+0.15%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+2.18%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52.74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多头排列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016371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信澳业绩驱动C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2.8609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-13.49%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-4.17%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42.14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006503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集成电路产业C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7.2623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-17.73%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+2.29%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40.12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002891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移动互联QDII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2.9720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-5.46%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+3.66%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49.31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539002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新兴市场QDII A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2.5630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-3.92%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+6.12%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50.52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006373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全球科技互联QDII A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7.4301</w:t>
              <w:br/>
              <w:t>2026-07-10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-5.17%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+2.89%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48.25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跌破20日线，结构未完全转弱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021873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沪深港黄金产业A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1.3736</w:t>
              <w:br/>
              <w:t>2026-07-13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-3.24%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-13.78%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42.83</w:t>
            </w:r>
          </w:p>
        </w:tc>
        <w:tc>
          <w:tcPr>
            <w:tcW w:type="dxa" w:w="2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空头排列</w:t>
            </w:r>
          </w:p>
        </w:tc>
      </w:tr>
    </w:tbl>
    <w:p>
      <w:pPr>
        <w:pStyle w:val="Heading2"/>
      </w:pPr>
      <w:r>
        <w:t>收益、回撤与相对强弱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850"/>
        <w:gridCol w:w="1200"/>
        <w:gridCol w:w="1200"/>
        <w:gridCol w:w="1500"/>
        <w:gridCol w:w="1500"/>
        <w:gridCol w:w="1555"/>
        <w:gridCol w:w="1555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代码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20日收益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60日收益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60日最大回撤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历史最大回撤</w:t>
            </w:r>
          </w:p>
        </w:tc>
        <w:tc>
          <w:tcPr>
            <w:tcW w:type="dxa" w:w="15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相对沪深300 20日</w:t>
            </w:r>
          </w:p>
        </w:tc>
        <w:tc>
          <w:tcPr>
            <w:tcW w:type="dxa" w:w="15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6"/>
              </w:rPr>
              <w:t>相对沪深300 60日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007339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-1.08%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+0.96%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-6.37%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-39.79%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+0.00%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+0.00%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021894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+28.58%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+85.48%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-14.70%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-18.41%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+29.66%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+84.52%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010004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+9.33%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+24.79%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-12.26%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-45.98%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+10.41%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+23.83%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012922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+0.17%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+38.16%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-17.49%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-20.22%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-1.51%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+34.36%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021528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-3.83%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+50.20%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-23.72%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-39.05%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-2.75%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+49.24%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007818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-5.70%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+19.21%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-20.07%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-44.36%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-4.62%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+18.25%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019024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+3.81%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+39.21%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-16.94%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-22.39%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+4.89%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+38.25%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024481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-3.81%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+50.20%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-24.07%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-24.07%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-2.74%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+49.24%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017731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+9.16%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+49.11%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-12.13%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-28.05%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+7.48%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+45.31%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16"/>
              </w:rPr>
              <w:t>014565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+16.63%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+0.03%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-19.85%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-45.54%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+17.71%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667085"/>
                <w:sz w:val="16"/>
              </w:rPr>
              <w:t>-0.93%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019331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+5.51%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+5.74%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-10.60%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-27.90%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+6.59%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+4.78%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016665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-0.38%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+35.90%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-18.27%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-30.49%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-2.06%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+32.10%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006479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+0.79%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+15.79%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-7.09%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-31.39%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-0.89%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+11.99%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016371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-5.31%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+22.15%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-23.80%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-58.07%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-4.23%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+21.19%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006503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-7.05%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+47.80%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-25.64%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-53.85%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-5.97%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+46.84%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002891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-1.85%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+31.80%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-18.87%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-66.11%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-3.53%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+27.99%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539002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+1.14%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+39.75%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-16.85%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-39.89%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+0.92%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+34.87%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006373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-1.30%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+28.21%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-15.29%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-34.53%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-2.98%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+24.40%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6"/>
              </w:rPr>
              <w:t>021873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-7.42%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-26.45%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-30.42%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6"/>
              </w:rPr>
              <w:t>-45.47%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-6.34%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9B1C1C"/>
                <w:sz w:val="16"/>
              </w:rPr>
              <w:t>-27.41%</w:t>
            </w:r>
          </w:p>
        </w:tc>
      </w:tr>
    </w:tbl>
    <w:p>
      <w:pPr>
        <w:spacing w:before="120" w:after="160" w:line="252" w:lineRule="auto"/>
      </w:pPr>
      <w:r>
        <w:rPr>
          <w:rFonts w:ascii="Calibri" w:hAnsi="Calibri" w:eastAsia="Arial Unicode MS"/>
          <w:b/>
          <w:i w:val="0"/>
          <w:color w:val="667085"/>
          <w:sz w:val="19"/>
        </w:rPr>
        <w:t>口径说明。</w:t>
      </w:r>
      <w:r>
        <w:rPr>
          <w:rFonts w:ascii="Calibri" w:hAnsi="Calibri" w:eastAsia="Arial Unicode MS"/>
          <w:b w:val="0"/>
          <w:i w:val="0"/>
          <w:color w:val="667085"/>
          <w:sz w:val="19"/>
        </w:rPr>
        <w:t>MA20/MA60为最近20/60个已公布净值观察值的简单均线；RSI14使用Wilder平滑；回撤由基金净值序列计算，不等同于你的账户回撤；相对强弱为基金同期收益减去007339沪深300联接C同期收益。QDII日期按其已公布净值，不用7月13日海外盘中行情回填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4CE"/>
          <w:left w:val="single" w:sz="2" w:color="FFF4CE"/>
          <w:bottom w:val="single" w:sz="2" w:color="FFF4CE"/>
          <w:right w:val="single" w:sz="2" w:color="FFF4CE"/>
          <w:insideH w:val="single" w:sz="2" w:color="FFF4CE"/>
          <w:insideV w:val="single" w:sz="2" w:color="FFF4C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2"/>
              </w:rPr>
              <w:t xml:space="preserve">持仓技术结论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半导体材料设备联接C仍是最强持仓：净值高于MA20约1.48%、高于MA60约29.41%，RSI 59.10，20日相对沪深300强约29.66个百分点。云计算联接C和纳指100联接C也在MA20上方。相对较弱的在持基金是集成电路产业C、财通品质甄选C和财通成长优选C，分别低于MA20约17.73%、16.14%和15.91%。这些是趋势状态，不是脱离费用与持有期的即时买卖指令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t>五、情景、行动与失效条件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550"/>
        <w:gridCol w:w="1200"/>
        <w:gridCol w:w="3250"/>
        <w:gridCol w:w="2360"/>
      </w:tblGrid>
      <w:tr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情景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主观概率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验证信号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00000"/>
                <w:sz w:val="19"/>
              </w:rPr>
              <w:t>当前动作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基准：高位科技继续震荡消化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55%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科技反弹但成交与宽度不足，指数反复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暂不追涨；先补齐持仓数据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偏强：外部风险缓和、业绩兑现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25%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科技放量修复，涨跌家数显著转正，强于沪深300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仅在费率/持有期核验后讨论分批调整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8"/>
              </w:rPr>
              <w:t>偏弱：冲突与利率再升级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20%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油价与长债收益率再升，科技继续放量破位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优先审计科技重叠和超限仓位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CE8E6"/>
          <w:left w:val="single" w:sz="2" w:color="FCE8E6"/>
          <w:bottom w:val="single" w:sz="2" w:color="FCE8E6"/>
          <w:right w:val="single" w:sz="2" w:color="FCE8E6"/>
          <w:insideH w:val="single" w:sz="2" w:color="FCE8E6"/>
          <w:insideV w:val="single" w:sz="2" w:color="FCE8E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Arial Unicode MS"/>
                <w:b/>
                <w:i w:val="0"/>
                <w:color w:val="9B1C1C"/>
                <w:sz w:val="22"/>
              </w:rPr>
              <w:t xml:space="preserve">风险官结论：暂不行动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正式历史净值与技术指标已经补齐；但在份额、申购/确认日期、赎回费率和现金余额补齐前，仍不生成申购或赎回金额。技术弱势本身不足以绕过持有期费用和账户集中度审计。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推翻“继续震荡”判断的证据：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连续交易日出现科技相对沪深300转强、成交额回升、上涨家数显著占优，并由中报订单与利润兑现配合。</w:t>
      </w:r>
    </w:p>
    <w:p>
      <w:pPr>
        <w:spacing w:before="0" w:after="120" w:line="264" w:lineRule="auto"/>
      </w:pPr>
      <w:r>
        <w:rPr>
          <w:rFonts w:ascii="Calibri" w:hAnsi="Calibri" w:eastAsia="Arial Unicode MS"/>
          <w:b/>
          <w:i w:val="0"/>
          <w:color w:val="1F4D78"/>
          <w:sz w:val="22"/>
        </w:rPr>
        <w:t>推翻“只是技术性调整”的证据：</w:t>
      </w:r>
      <w:r>
        <w:rPr>
          <w:rFonts w:ascii="Calibri" w:hAnsi="Calibri" w:eastAsia="Arial Unicode MS"/>
          <w:b w:val="0"/>
          <w:i w:val="0"/>
          <w:color w:val="1F2937"/>
          <w:sz w:val="22"/>
        </w:rPr>
        <w:t>科技主题持续放量下跌、核心持仓盈利预期下修、AI资本开支或半导体设备订单出现实质性下调，同时账户真实回撤触发8%纪律线。</w:t>
      </w:r>
    </w:p>
    <w:p>
      <w:pPr>
        <w:pStyle w:val="Heading1"/>
      </w:pPr>
      <w:r>
        <w:t>六、下一步需要补齐的信息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9"/>
              </w:rPr>
              <w:t>每只基金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当前份额、申购日期、确认日期、申购金额与成本净值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9"/>
              </w:rPr>
              <w:t>交易状态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创新药赎回申请时间、确认份额/净值、到账金额与费用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9"/>
              </w:rPr>
              <w:t>账户层面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当前现金余额、账户历史高点、是否还有未迁移基金或在途交易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2937"/>
                <w:sz w:val="19"/>
              </w:rPr>
              <w:t>费用与限制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销售平台当前申购/赎回状态、持有期赎回费、QDII限购与净值时滞</w:t>
            </w:r>
          </w:p>
        </w:tc>
      </w:tr>
    </w:tbl>
    <w:p>
      <w:r>
        <w:br w:type="page"/>
      </w:r>
    </w:p>
    <w:p>
      <w:pPr>
        <w:pStyle w:val="Heading1"/>
      </w:pPr>
      <w:r>
        <w:t>七、来源与口径</w:t>
      </w:r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本地持仓底稿：</w:t>
      </w:r>
      <w:r>
        <w:rPr>
          <w:rFonts w:ascii="Calibri" w:hAnsi="Calibri" w:eastAsia="Arial Unicode MS"/>
          <w:b w:val="0"/>
          <w:i w:val="0"/>
          <w:color w:val="1F2937"/>
          <w:sz w:val="20"/>
        </w:rPr>
        <w:t>data/holding-intake.csv（截图迁移，时点2026-07-12）</w:t>
      </w:r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基金净值历史：</w:t>
      </w:r>
      <w:hyperlink r:id="rId11">
        <w:r>
          <w:rPr>
            <w:rFonts w:ascii="Calibri" w:hAnsi="Calibri" w:eastAsia="Arial Unicode MS"/>
            <w:color w:val="2E74B5"/>
            <w:u w:val="single"/>
            <w:sz w:val="20"/>
          </w:rPr>
          <w:t>天天基金公开净值页面；19只基金逐条URL与抓取时间已保存于data/nav-history.csv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A股收盘与成交：</w:t>
      </w:r>
      <w:hyperlink r:id="rId12">
        <w:r>
          <w:rPr>
            <w:rFonts w:ascii="Calibri" w:hAnsi="Calibri" w:eastAsia="Arial Unicode MS"/>
            <w:color w:val="2E74B5"/>
            <w:u w:val="single"/>
            <w:sz w:val="20"/>
          </w:rPr>
          <w:t>每日经济新闻｜7月13日A股收盘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宽基指数表现：</w:t>
      </w:r>
      <w:hyperlink r:id="rId13">
        <w:r>
          <w:rPr>
            <w:rFonts w:ascii="Calibri" w:hAnsi="Calibri" w:eastAsia="Arial Unicode MS"/>
            <w:color w:val="2E74B5"/>
            <w:u w:val="single"/>
            <w:sz w:val="20"/>
          </w:rPr>
          <w:t>金融界｜7月13日宽基指数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A股跌幅与原因：</w:t>
      </w:r>
      <w:hyperlink r:id="rId14">
        <w:r>
          <w:rPr>
            <w:rFonts w:ascii="Calibri" w:hAnsi="Calibri" w:eastAsia="Arial Unicode MS"/>
            <w:color w:val="2E74B5"/>
            <w:u w:val="single"/>
            <w:sz w:val="20"/>
          </w:rPr>
          <w:t>东方财富｜A股大跌，发生了什么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ETF资金流：</w:t>
      </w:r>
      <w:hyperlink r:id="rId15">
        <w:r>
          <w:rPr>
            <w:rFonts w:ascii="Calibri" w:hAnsi="Calibri" w:eastAsia="Arial Unicode MS"/>
            <w:color w:val="2E74B5"/>
            <w:u w:val="single"/>
            <w:sz w:val="20"/>
          </w:rPr>
          <w:t>东方财富｜股票ETF单周净流入近830亿元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港股收盘：</w:t>
      </w:r>
      <w:hyperlink r:id="rId16">
        <w:r>
          <w:rPr>
            <w:rFonts w:ascii="Calibri" w:hAnsi="Calibri" w:eastAsia="Arial Unicode MS"/>
            <w:color w:val="2E74B5"/>
            <w:u w:val="single"/>
            <w:sz w:val="20"/>
          </w:rPr>
          <w:t>新浪财经/智通｜7月13日港股收盘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全球市场与利率：</w:t>
      </w:r>
      <w:hyperlink r:id="rId17">
        <w:r>
          <w:rPr>
            <w:rFonts w:ascii="Calibri" w:hAnsi="Calibri" w:eastAsia="Arial Unicode MS"/>
            <w:color w:val="2E74B5"/>
            <w:u w:val="single"/>
            <w:sz w:val="20"/>
          </w:rPr>
          <w:t>AP｜7月13日油价、亚洲股市与美债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美股上周五：</w:t>
      </w:r>
      <w:hyperlink r:id="rId18">
        <w:r>
          <w:rPr>
            <w:rFonts w:ascii="Calibri" w:hAnsi="Calibri" w:eastAsia="Arial Unicode MS"/>
            <w:color w:val="2E74B5"/>
            <w:u w:val="single"/>
            <w:sz w:val="20"/>
          </w:rPr>
          <w:t>AP｜7月10日美国主要指数</w:t>
        </w:r>
      </w:hyperlink>
    </w:p>
    <w:p>
      <w:pPr>
        <w:spacing w:before="0" w:after="80" w:line="259" w:lineRule="auto"/>
      </w:pPr>
      <w:r>
        <w:rPr>
          <w:rFonts w:ascii="Calibri" w:hAnsi="Calibri" w:eastAsia="Arial Unicode MS"/>
          <w:b/>
          <w:i w:val="0"/>
          <w:color w:val="1F2937"/>
          <w:sz w:val="20"/>
        </w:rPr>
        <w:t>统计数据日程：</w:t>
      </w:r>
      <w:hyperlink r:id="rId19">
        <w:r>
          <w:rPr>
            <w:rFonts w:ascii="Calibri" w:hAnsi="Calibri" w:eastAsia="Arial Unicode MS"/>
            <w:color w:val="2E74B5"/>
            <w:u w:val="single"/>
            <w:sz w:val="20"/>
          </w:rPr>
          <w:t>国家统计局｜2026年主要统计信息发布日程</w:t>
        </w:r>
      </w:hyperlink>
    </w:p>
    <w:p>
      <w:pPr>
        <w:spacing w:before="200" w:after="0" w:line="252" w:lineRule="auto"/>
      </w:pPr>
      <w:r>
        <w:rPr>
          <w:rFonts w:ascii="Calibri" w:hAnsi="Calibri" w:eastAsia="Arial Unicode MS"/>
          <w:b/>
          <w:i w:val="0"/>
          <w:color w:val="667085"/>
          <w:sz w:val="19"/>
        </w:rPr>
        <w:t>免责声明：</w:t>
      </w:r>
      <w:r>
        <w:rPr>
          <w:rFonts w:ascii="Calibri" w:hAnsi="Calibri" w:eastAsia="Arial Unicode MS"/>
          <w:b w:val="0"/>
          <w:i w:val="0"/>
          <w:color w:val="667085"/>
          <w:sz w:val="19"/>
        </w:rPr>
        <w:t>本报告用于个人研究与仓位核对，不承诺收益，不替代基金销售平台的正式净值、费率与交易确认。场外基金按未知价申赎，QDII还存在时区与净值确认时滞；任何交易需由你本人核对并手工确认。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Arial Unicode MS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 w:eastAsia="Arial Unicode MS"/>
        <w:b/>
        <w:i w:val="0"/>
        <w:color w:val="667085"/>
        <w:sz w:val="18"/>
      </w:rPr>
      <w:t>基金账户复盘  ·  研究记录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Arial Unicode M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und.eastmoney.com/007339.html" TargetMode="External"/><Relationship Id="rId12" Type="http://schemas.openxmlformats.org/officeDocument/2006/relationships/hyperlink" Target="https://www.nbd.com.cn/articles/2026-07-13/4469407.html" TargetMode="External"/><Relationship Id="rId13" Type="http://schemas.openxmlformats.org/officeDocument/2006/relationships/hyperlink" Target="https://finance.jrj.com.cn/2026/07/13151657779197.shtml" TargetMode="External"/><Relationship Id="rId14" Type="http://schemas.openxmlformats.org/officeDocument/2006/relationships/hyperlink" Target="https://finance.eastmoney.com/a/202607133804134796.html" TargetMode="External"/><Relationship Id="rId15" Type="http://schemas.openxmlformats.org/officeDocument/2006/relationships/hyperlink" Target="https://finance.eastmoney.com/a/202607133803694914.html" TargetMode="External"/><Relationship Id="rId16" Type="http://schemas.openxmlformats.org/officeDocument/2006/relationships/hyperlink" Target="https://finance.sina.com.cn/stock/hkstock/hkstocknews/2026-07-13/doc-inihscma8936694.shtml" TargetMode="External"/><Relationship Id="rId17" Type="http://schemas.openxmlformats.org/officeDocument/2006/relationships/hyperlink" Target="https://apnews.com/article/2d6744b09c68b5473d0bc8584b89e60e" TargetMode="External"/><Relationship Id="rId18" Type="http://schemas.openxmlformats.org/officeDocument/2006/relationships/hyperlink" Target="https://apnews.com/article/d3c5b8171e25e98da62831181de9a666" TargetMode="External"/><Relationship Id="rId19" Type="http://schemas.openxmlformats.org/officeDocument/2006/relationships/hyperlink" Target="https://www.stats.gov.cn/xw/tjxw/tzgg/202512/t20251224_196213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