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2026-07-20-基金午报</dc:title>
  <dc:subject>中文可读图像页DOCX；可编辑源见同名Markdown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