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Arial Unicode MS"/>
          <w:b/>
          <w:color w:val="0B2545"/>
          <w:sz w:val="44"/>
        </w:rPr>
        <w:t>2026-07-14 基金晚间决策型复盘</w:t>
      </w:r>
    </w:p>
    <w:p>
      <w:pPr>
        <w:spacing w:after="100" w:line="264" w:lineRule="auto"/>
      </w:pPr>
      <w:r>
        <w:rPr>
          <w:rFonts w:ascii="Calibri" w:hAnsi="Calibri" w:eastAsia="Arial Unicode MS"/>
          <w:b/>
          <w:sz w:val="20"/>
        </w:rPr>
        <w:t>生成时间：2026-07-14T20:34:00+08:00；账户范围：大陆场外开放式基金；盘中估值仅作信号，不是成交价。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结论先行：今日 A 股收盘修复强于午盘，但半导体资金与多数持仓技术结构仍未完全确认。已提交的 010004 20% 赎回等待正式净值与平台确认；下一开放日不新增申购，不做账户级撤退。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只看这一页：行动结论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问题</w:t>
            </w:r>
          </w:p>
        </w:tc>
        <w:tc>
          <w:tcPr>
            <w:tcW w:type="dxa" w:w="737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结论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1）下一开放日卖不卖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继续持有：007339、021894、007818、019331、QDII组合，等待正式净值和 7/17 WAIC。优先减仓审查：010004 已于 7/14 提交约20%（432.92份模型值）待确认；若未受理且 7/15 电子/半导体资金再度转弱，可重新提交10%-15%。019024仅在电子/计算机资金重新转负且跌回弱势时审查15%-20%（89.60-119.46份，按3.0213估算毛额约270.70-361.02元，费率0.5%口径）。触发即退出：暂无账户级退出项；006503金额小且费率/状态未知，暂不动作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2）下一开放日买不买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不买。申购金额上限为0元。只有在现金真实余额、申购状态、费率确认，且NBS数据后宽基成交延续、电子/通信连续净流入、WAIC出现具体政策或订单时，才重新评估分批买入；本晚报不授权预埋申购。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3）跑不跑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不需要账户级跑。当前是结构性降仓而非清仓：010004 已做弱势重复科技仓的风险释放，其余等待确认。若账户高点回撤经真实流水确认达到8%，再切换到风险资产上限40%的纪律模式。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4）概率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下一交易日组合：收涨40%、震荡35%、收跌25%。未来1-2周偏强概率45%，震荡35%，偏弱20%。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5）明天只做一件事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10:00看国家统计局数据后，到14:45只复核五个阈值；不在没有平台确认的情况下追加操作。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6）最多五个指标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沪指3900；上涨家数3500/1000；电子或半导体主力资金0/-300亿元；通信主力资金是否继续为正；沪深京成交额是否维持2.6万亿元以上。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7）推翻结论的证据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沪指跌回3900下、上涨家数少于1000、电子/半导体主力流出扩大且010004/019024正式净值继续弱于沪深300。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持仓复述与正式净值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同步后持仓按最新正式净值估算总市值约 38,487.14 元。项目自检仍提示：组合历史为空，真实账户回撤无法计算；持仓市值与配置资金 30,000 元差异超过10%，现金比例不能直接采用配置值。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代码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份额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净值日</w:t>
            </w:r>
          </w:p>
        </w:tc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净值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估算市值</w:t>
            </w:r>
          </w:p>
        </w:tc>
        <w:tc>
          <w:tcPr>
            <w:tcW w:type="dxa" w:w="221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披露状态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007339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5222.48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1.8823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9,830.27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021894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1662.26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2.9478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4,900.01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010004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2164.60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2.1446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4,642.20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012922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695.91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4.1844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2,911.95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021528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财通成长优选混合C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541.92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4.9840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2,700.93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007818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480.25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4.0644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1,951.93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019024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597.32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3.0213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1,804.69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024481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财通品质甄选混合C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779.36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2.2316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1,739.22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已公布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017731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嘉实全球产业升级股票(QDII)C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318.81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4.3752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1,394.88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019331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639.94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2.1602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1,382.40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016665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天弘全球高端制造混合(QDII)C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396.76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3.0838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1,223.54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006479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116.32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8.1669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949.98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016371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信澳业绩驱动混合C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282.99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2.8609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809.61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006503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103.83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7.2623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754.04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2026-07-14待公布；最新2026-07-13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002891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华夏移动互联灵活配置混合(QDII)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253.15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2.9720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752.37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539002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建信新兴市场优选混合(QDII)A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204.69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2.5630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524.62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006373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国富全球科技互联混合(QDII)人民币A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28.64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7.4301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212.83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QDII净值日期滞后：2026-07-10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021873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中欧中证沪深港黄金产业股票指数A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1.18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1.4290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已公布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广泛信息面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A股收盘：上证指数3967.13（+1.36%），沪深300 4796.50（+2.15%），创业板指3851.14（+3.43%），科创50 2009.73（+0.77%）；沪深两市成交额约2.70万亿元。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市场宽度：上证和深证成分统计合计上涨约3967家、下跌约1234家，满足强修复的广度条件，但不是所有主题同步修复。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港股：恒生指数24340.73（+0.52%），恒生科技指数4679.46（+0.06%），对A股科技修复的确认偏弱。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海外：前一美股交易日纳指-1.55%、标普500-0.79%，全球科技链仍是反方压力。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央行：7月14日9:20公告开展2365亿元7天期逆回购，中标利率1.40%，偏流动性呵护，但不能单独解释行业上涨。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9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日期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事件</w:t>
            </w:r>
          </w:p>
        </w:tc>
        <w:tc>
          <w:tcPr>
            <w:tcW w:type="dxa" w:w="141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新增/复核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传导链与反方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下一检查点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7/15 10:00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国家统计局发布国民经济运行情况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复核：官方日程确认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宏观数据-&gt;宽基风险偏好；反方是数据后冲高回落或政策预期落空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14:45看沪深300、中证500、成交额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7/15-18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泰国总理访华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新增：外交部外事日程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外交-&gt;经贸/旅游/区域合作；反方是礼节性会见，无订单/政策细则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会见通稿是否有合作清单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7/16起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长鑫科技科创板申购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复核：继续scheduled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国产存储-&gt;设备材料/封测；反方是大IPO分流和估值已定价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申购热度、定价、半导体资金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7/17-20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WAIC暨AI全球治理高级别会议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复核：外交部确认最高层出席，上海市政府确认论坛与展品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AI战略-&gt;算力/芯片/通信/云；反方是大会已预告，若无具体政策可能兑现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7/17讲话全文和电子/通信连续资金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央行2365亿元7天逆回购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新增：官方公告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流动性-&gt;成交和风险偏好；反方是例行操作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7/15公开市场与成交延续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技术面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代码</w:t>
            </w:r>
          </w:p>
        </w:tc>
        <w:tc>
          <w:tcPr>
            <w:tcW w:type="dxa" w:w="204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净值日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相对MA20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相对MA60</w:t>
            </w:r>
          </w:p>
        </w:tc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RSI14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60日回撤</w:t>
            </w:r>
          </w:p>
        </w:tc>
        <w:tc>
          <w:tcPr>
            <w:tcW w:type="dxa" w:w="96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20日相对沪深300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状态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007339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-0.03372690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-0.02421618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42.23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0.06371866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0.00000000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021894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0.00322804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0.27854753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58.85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0.14697209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0.26293163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多头排列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010004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-0.05217543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0.04359589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47.57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0.12264768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0.10406479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007818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-0.11230022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-0.03832101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41.34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0.20067653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-0.04621016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019024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-0.06214496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0.08856846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50.37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0.16944731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0.02543958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006503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-0.17725595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0.02293167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40.12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0.25644517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-0.05974718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012922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-0.12099639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-0.00549374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42.24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0.20655327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-0.05318184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跌破20日线，结构未完全转弱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006479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0.00151940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0.02183559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52.74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0.07089915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-0.00890379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多头排列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019331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0.02555095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0.01324920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55.53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0.10604524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0.06586786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站上20日线，结构未完全转强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技术结论：021894、019331仍有相对强弱支撑；010004、019024、007818和多数主动科技仓仍在20日线下，今天的价格修复尚未等于趋势恢复。QDII多只净值滞后，不能拿A股或美股盘中估算替代正式净值。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主力资金动向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口径说明：所谓主力资金是行情软件基于逐笔成交方向的统计，不等同于机构真实账户流向；必须与价格、成交额、宽度和相对强弱交叉验证。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方向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行业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净额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价格验证</w:t>
            </w:r>
          </w:p>
        </w:tc>
        <w:tc>
          <w:tcPr>
            <w:tcW w:type="dxa" w:w="42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解释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元件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+141.4亿元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+6.31%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AI硬件/PCB链条修复最强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印制电路板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+132.8亿元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+6.88%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与WAIC/算力硬件预期一致，但需看持续性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通信设备+通信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约+174.4亿元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+1.59%/+0.82%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007818相关方向改善，支持继续观察而非追买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半导体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-124.2亿元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+0.17%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价格止跌但资金未确认，021894不减但不加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计算机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-49.3亿元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+0.08%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AI软件/应用端确认不足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判断：全市场不是集体出逃，而是强修复中的板块轮动。资金从部分半导体、计算机、军工电子流出，转向PCB、元件、通信和有色。对持仓的含义是：不追买科技，但也不把今日修复解读成账户级撤退信号。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情景预测与行动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周期</w:t>
            </w:r>
          </w:p>
        </w:tc>
        <w:tc>
          <w:tcPr>
            <w:tcW w:type="dxa" w:w="1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情景</w:t>
            </w:r>
          </w:p>
        </w:tc>
        <w:tc>
          <w:tcPr>
            <w:tcW w:type="dxa" w:w="6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概率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因果链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验证信号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行动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失效条件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基准：震荡偏强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宏观数据前风险偏好修复，科技内部继续分化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沪指&gt;3900、成交&gt;2.6万亿、通信为正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不买；010004确认后观察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半导体/电子流出扩大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NBS数据不差+WAIC预期升温+资金扩散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上涨&gt;3500且电子/通信均为正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只取消新增减仓，不追申购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冲高回落且宽度收缩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海外科技压力或政策预期落空，半导体再流出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沪指&lt;3900、上涨&lt;1000、电子流出&gt;300亿元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重新审查019024/010004 10%-20%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沪指收复3900且流出收窄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基准：震荡修复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35%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大会和宏观数据提供事件窗口，但正式政策仍未落地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宽基MA20修复、科技相对强弱不再恶化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维持仓位，先补数据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连续两日跌破关键位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WAIC出现具体算力/数据/应用政策或订单，成交延续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电子/通信连续净流入，021894/019331强于沪深300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再评估小额分批，当前不预埋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讲话无新增细则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20%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事件已定价，技术修复失败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010004/019024正式净值继续弱于宽基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结构性降仓，不账户级清仓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宽基放量突破且资金扩散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对持仓的影响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宽基007339：收盘确认修复，但7月14日正式净值待公布；继续持有，作为组合稳定器，不因盘中点位做申赎。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半导体/电子：021894技术相对最强但半导体资金未确认，继续持有不加仓；010004已提交20%结构性赎回，等待正式净值和平台确认；019024仅保留触发式审查。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通信/云：通信资金与价格相互验证，007818和019331不减；但007818正式净值待公布，不能按指数涨幅估算成交。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主动权益：021528、024481今日正式净值修复，但多数仍低于MA20，不加仓；先观察明日宏观数据后的宽基延续。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QDII：多只净值日期滞后，006479、002891、539002、006373仍停在7月10日，012922/017731/016665到7月13日；只做风险观察，不用A股收盘替代其正式净值。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午报14:30-15:00操作卡复盘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午报阈值复核：确认破位三条件没有触发。14:32记录显示沪指3952.10、上涨4029家，强价格修复成立；电子主力资金仍约-41.1亿元，成交投射约2.76万亿元，低于强资金确认阈值，因此触发的是“强修复但资金未确认”的分支。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用户已提交010004赎回申请（transactions.csv：2026-07-14T14:43:59+08:00，status=submitted）。若平台确在15:00前受理，普通场外基金预计适用2026-07-14未知价正式净值；截至本报告010004的7月14日正式净值仍待公布，不能判定成交结果、费用后价值或午报胜负。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只有收盘后才确认的信号：上证3967.13、沪深成交约2.70万亿元、板块资金最终分布。这些只能用于7月15日及之后的开放日决策，不能伪装成可按7月14日收盘净值重新提交。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账户8%回撤纪律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组合历史为空，无法计算真实高点和账户回撤。按项目纪律，若用户补录真实现金、014565确认、010004确认净值和完整流水后，账户从历史高点回撤达到8%，则停止新增申购，风险资产上限降至40%，并进入至少5个有记录交易日的冷静期。当前不能把未知回撤当作0，也不能据此追加买入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审计与滚动指标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今日午报原始预测仍为pending：正式NAV和平台确认未完成。实际执行、按原建议模型执行、完全不操作和宽基基准四项比较暂不能计算。历史日志样本少，native实时已到7条以内且多条未到评估日；不得宣称胜率提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指标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当前值</w:t>
            </w:r>
          </w:p>
        </w:tc>
        <w:tc>
          <w:tcPr>
            <w:tcW w:type="dxa" w:w="5669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/>
                <w:sz w:val="17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可解析日志样本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8条（含回填）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回填记录不冒充实时样本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已完成评估样本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0条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正式净值/执行数据不足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方向命中率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不报告胜率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Brier分数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需要概率和实际结果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相对不操作费用后增益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010004仍待正式净值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最大不利波动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Arial Unicode MS"/>
                <w:b w:val="0"/>
                <w:sz w:val="17"/>
              </w:rPr>
              <w:t>缺少组合历史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今日教学：资金确认不等于价格上涨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概念：价格上涨说明有人愿意用更高价格成交，但资金确认要看上涨是否由广度、成交额、相对强弱和主力资金共同支持。若只有少数链条上涨，场外基金不应追逐当天情绪。</w:t>
      </w:r>
    </w:p>
    <w:p>
      <w:pPr>
        <w:spacing w:after="100" w:line="264" w:lineRule="auto"/>
      </w:pPr>
      <w:r>
        <w:rPr>
          <w:rFonts w:ascii="Calibri" w:hAnsi="Calibri" w:eastAsia="Arial Unicode MS"/>
          <w:b w:val="0"/>
          <w:sz w:val="20"/>
        </w:rPr>
        <w:t>持仓例子：021894半导体材料设备今日拿到7月14日正式净值2.9478，仍在MA20上方，但半导体行业主力资金净流出约124.2亿元。因此结论是继续持有、等待WAIC和长鑫事件验证，而不是新增申购。</w:t>
      </w:r>
    </w:p>
    <w:p>
      <w:pPr>
        <w:pStyle w:val="Heading1"/>
      </w:pPr>
      <w:r>
        <w:rPr>
          <w:rFonts w:ascii="Calibri" w:hAnsi="Calibri" w:eastAsia="Arial Unicode MS"/>
          <w:b/>
          <w:color w:val="1F4D78"/>
          <w:sz w:val="32"/>
        </w:rPr>
        <w:t>来源与时间戳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项目文件：AGENTS.md、config/trading-constraints.json、config/noon-decision-rules.json、config/review-loop.json、data/catalyst-ledger.csv、data/decision-journal.csv、data/nav-history.csv，抓取/生成时间见各文件。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基金净值：东方财富基金 pingzhongdata，同步时间2026-07-14T12:30:21Z；正式净值只采用is_estimate=false记录。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行情：腾讯行情 https://qt.gtimg.cn/；东方财富板块资金 https://push2.eastmoney.com/，抓取时间约2026-07-14晚间。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央行公开市场公告：https://www.pbc.gov.cn/zhengcehuobisi/125207/125213/125431/125475/2026071409063784437/index.html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国家统计局发布日程：https://www.stats.gov.cn/sj/fbrc/bnxxfb/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外交部外事日程：https://www.mfa.gov.cn/web/wjdt_674879/wsrc_674883/</w:t>
      </w:r>
    </w:p>
    <w:p>
      <w:pPr>
        <w:pStyle w:val="ListBullet"/>
        <w:spacing w:after="60"/>
      </w:pPr>
      <w:r>
        <w:rPr>
          <w:rFonts w:ascii="Calibri" w:hAnsi="Calibri" w:eastAsia="Arial Unicode MS"/>
          <w:sz w:val="19"/>
        </w:rPr>
        <w:t>上海市政府WAIC信息：https://www.shanghai.gov.cn/nw4411/20260708/ba4c8e75f2744b43a6080ebb82a3aab2.html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