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40" w:lineRule="auto"/>
      </w:pPr>
      <w:r>
        <w:rPr>
          <w:rFonts w:ascii="Calibri" w:hAnsi="Calibri" w:eastAsia="Arial Unicode MS"/>
          <w:b/>
          <w:i w:val="0"/>
          <w:color w:val="000000"/>
          <w:sz w:val="48"/>
        </w:rPr>
        <w:t>基金晚间决策型复盘</w:t>
      </w:r>
    </w:p>
    <w:p>
      <w:pPr>
        <w:spacing w:before="0" w:after="320" w:line="240" w:lineRule="auto"/>
      </w:pPr>
      <w:r>
        <w:rPr>
          <w:rFonts w:ascii="Calibri" w:hAnsi="Calibri" w:eastAsia="Arial Unicode MS"/>
          <w:b w:val="0"/>
          <w:i w:val="0"/>
          <w:color w:val="667085"/>
          <w:sz w:val="24"/>
        </w:rPr>
        <w:t>2026年7月13日收盘后｜仓位底稿截至7月12日截图口径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00000"/>
          <w:sz w:val="21"/>
        </w:rPr>
        <w:t>账户定位：</w:t>
      </w:r>
      <w:r>
        <w:rPr>
          <w:rFonts w:ascii="Calibri" w:hAnsi="Calibri" w:eastAsia="Arial Unicode MS"/>
          <w:b w:val="0"/>
          <w:i w:val="0"/>
          <w:color w:val="000000"/>
          <w:sz w:val="21"/>
        </w:rPr>
        <w:t>中国大陆场外公募基金；人工确认交易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00000"/>
          <w:sz w:val="21"/>
        </w:rPr>
        <w:t>报告范围：</w:t>
      </w:r>
      <w:r>
        <w:rPr>
          <w:rFonts w:ascii="Calibri" w:hAnsi="Calibri" w:eastAsia="Arial Unicode MS"/>
          <w:b w:val="0"/>
          <w:i w:val="0"/>
          <w:color w:val="000000"/>
          <w:sz w:val="21"/>
        </w:rPr>
        <w:t>持仓核对、全市场信息面、主力资金、技术面、预测、教学与风险审计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00000"/>
          <w:sz w:val="21"/>
        </w:rPr>
        <w:t>数据时点：</w:t>
      </w:r>
      <w:r>
        <w:rPr>
          <w:rFonts w:ascii="Calibri" w:hAnsi="Calibri" w:eastAsia="Arial Unicode MS"/>
          <w:b w:val="0"/>
          <w:i w:val="0"/>
          <w:color w:val="000000"/>
          <w:sz w:val="21"/>
        </w:rPr>
        <w:t>A股/港股截至7月13日收盘；美股仅截至7月10日收盘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00000"/>
          <w:sz w:val="21"/>
        </w:rPr>
        <w:t>建模口径：</w:t>
      </w:r>
      <w:r>
        <w:rPr>
          <w:rFonts w:ascii="Calibri" w:hAnsi="Calibri" w:eastAsia="Arial Unicode MS"/>
          <w:b w:val="0"/>
          <w:i w:val="0"/>
          <w:color w:val="000000"/>
          <w:sz w:val="21"/>
        </w:rPr>
        <w:t>申购日统一按7月3日；份额由截图市值反推；满7日赎回费按0.5%</w:t>
      </w:r>
    </w:p>
    <w:p>
      <w:pPr>
        <w:pStyle w:val="Heading1"/>
      </w:pPr>
      <w:r>
        <w:t>一、先复述你的仓位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 xml:space="preserve">迁移结论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底稿共19条。剔除“创新药已卖出、待确认”后，当前暂按18只在持，市值 39,504.96 元，估算成本 39,560.65 元，截图口径浮亏 55.69 元（-0.14%）。若把待确认卖出的1,421.58元也计入，截图总额为 40,926.54 元。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6F4EA"/>
          <w:left w:val="single" w:sz="2" w:color="E6F4EA"/>
          <w:bottom w:val="single" w:sz="2" w:color="E6F4EA"/>
          <w:right w:val="single" w:sz="2" w:color="E6F4EA"/>
          <w:insideH w:val="single" w:sz="2" w:color="E6F4EA"/>
          <w:insideV w:val="single" w:sz="2" w:color="E6F4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6F4E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256D4A"/>
                <w:sz w:val="22"/>
              </w:rPr>
              <w:t xml:space="preserve">7月13日模型更新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按7月12日截图市值除以当时最新正式净值反推份额，再乘以7月13日最新正式净值，18只在持基金的模型市值为 38,324.93 元。若全部赎回并统一按0.5%估算，费用约 191.62 元，净到账约 38,133.31 元。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口头版复述：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你以沪深300作为最大单一底仓，同时叠加半导体材料设备、电子信息、通信设备、云计算和多只科技主动基金；海外部分由全球成长、全球产业升级、高端制造、纳指100及若干科技QDII组成。仓位数量多、科技因子重叠明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3860"/>
        <w:gridCol w:w="1300"/>
        <w:gridCol w:w="1050"/>
        <w:gridCol w:w="1100"/>
        <w:gridCol w:w="1100"/>
      </w:tblGrid>
      <w:tr>
        <w:trPr>
          <w:tblHeader w:val="true"/>
        </w:trPr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代码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基金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市值（元）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占在持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持有收益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007339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易方达沪深300ETF联接C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9,994.26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25.30%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-5.74 / -0.06%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021894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易方达半导体材料设备ETF联接C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5,129.73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12.99%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+129.73 / +2.59%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010004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景顺长城电子信息产业股票C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4,875.76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12.34%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-124.24 / -2.48%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012922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易方达全球成长精选混合(QDII)C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3,077.02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7.79%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+805.82 / +35.48%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021528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财通成长优选混合C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2,614.76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6.62%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-292.21 / -10.05%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007818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国泰中证全指通信设备ETF联接C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2,045.19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5.18%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+45.19 / +2.26%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019024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易方达信息行业精选股票C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1,808.03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4.58%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-191.97 / -9.60%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024481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财通品质甄选混合C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1,687.70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4.27%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-312.30 / -15.61%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017731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嘉实全球产业升级股票(QDII)C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1,453.06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3.68%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+153.06 / +11.77%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014565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天弘沪深港创新药50ETF联接C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1,421.58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+0.00 / +0.00%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已卖待确认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019331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华泰柏瑞中证沪港深云计算产业ETF联接C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1,404.54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3.56%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+4.54 / +0.32%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016665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天弘全球高端制造混合(QDII)C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1,313.53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3.32%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+13.53 / +1.04%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006479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广发纳指100ETF联接(QDII)C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949.98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2.40%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+99.98 / +11.76%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016371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信澳业绩驱动混合C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848.69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2.15%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-151.31 / -15.13%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006503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财通集成电路产业股票C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811.22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2.05%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-188.78 / -18.88%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002891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华夏移动互联灵活配置混合(QDII)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752.37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1.90%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-47.63 / -5.95%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539002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建信新兴市场优选混合(QDII)A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524.62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1.33%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-5.38 / -1.01%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006373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国富全球科技互联混合(QDII)人民币A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212.83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0.54%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+12.83 / +6.41%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021873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中欧中证沪深港黄金产业股票指数A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1.67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0.00%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-0.81 / -32.82%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</w:tbl>
    <w:p>
      <w:pPr>
        <w:pStyle w:val="Heading1"/>
      </w:pPr>
      <w:r>
        <w:t>二、仓位结构与迁移质量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700"/>
        <w:gridCol w:w="3300"/>
        <w:gridCol w:w="1900"/>
        <w:gridCol w:w="24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检查项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当前口径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项目约束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结论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持仓数量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18只在持 + 1只待确认卖出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最多3只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明显不一致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最大单只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沪深300 25.30%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不高于25%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轻微超限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显性科技主题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至少 43.13%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主题不高于40%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已超；实际或更高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QDII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8,283.41元 / 20.97%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不高于25%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口径内未超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资金规模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在持市值 39,504.96元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配置本金30,000元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配置可能已过期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现金与回撤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现金未知；无组合历史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现金≥25%；回撤8%降仓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无法核验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CE"/>
          <w:left w:val="single" w:sz="2" w:color="FFF4CE"/>
          <w:bottom w:val="single" w:sz="2" w:color="FFF4CE"/>
          <w:right w:val="single" w:sz="2" w:color="FFF4CE"/>
          <w:insideH w:val="single" w:sz="2" w:color="FFF4CE"/>
          <w:insideV w:val="single" w:sz="2" w:color="FFF4CE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2"/>
              </w:rPr>
              <w:t xml:space="preserve">建模假设已落地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所有在持基金统一按2026年7月3日申购、持有10天处理；份额由截图市值与7月12日前最新正式净值反推；赎回费采用用户指定的宽口径：未满7天1.5%，满7天0.5%。该口径足以生成金额草案，但不代表每只产品合同或销售平台的最终收费。现金余额与账户历史高点仍未知，只影响账户层面回撤，不阻断单只基金金额测算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三、今天的信息面复盘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400"/>
        <w:gridCol w:w="2750"/>
        <w:gridCol w:w="3000"/>
        <w:gridCol w:w="221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信息维度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当日事实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市场含义</w:t>
            </w:r>
          </w:p>
        </w:tc>
        <w:tc>
          <w:tcPr>
            <w:tcW w:type="dxa" w:w="2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持仓映射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A股全景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三大指数下跌；超4600股下跌；成交2.82万亿元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广泛风险收缩，不是少数权重拖累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全部境内权益基金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港股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恒指+0.16%，恒科-0.96%；成交3095亿港元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大盘防守强于科技，内部仍是风格切换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沪深港云计算及港股暴露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全球定价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油价与美债收益率受地缘风险推升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通胀与折现率压力不利高估值成长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纳指、全球成长、半导体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ETF中期资金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7月6日至10日股票ETF净流入约828亿元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此前有逆势承接，但尚未证明7月13日止跌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半导体材料设备与宽基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国内数据日程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7月14日9:30有国民经济运行数据发布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宏观预期差可能改变价值/成长相对强弱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沪深300与主动成长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盈利验证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中报预告进入密集期，高位科技波动放大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行情由题材叙事转向订单、利润与估值匹配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电子、通信、集成电路</w:t>
            </w:r>
          </w:p>
        </w:tc>
      </w:tr>
    </w:tbl>
    <w:p>
      <w:pPr>
        <w:pStyle w:val="Heading2"/>
      </w:pPr>
      <w:r>
        <w:t>1. 外部冲击：地缘风险抬升油价与利率压力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事实。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周末中东冲突再度升级，7月13日全球风险资产承压。AP报道亚洲交易时段韩国KOSPI下跌8.9%；美国10年期国债收益率升至4.59%，高于上周五的4.56%。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因果链。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冲突升级 → 原油与通胀风险上升 → 降息预期受压、长端利率抬升 → 高估值成长资产折现率上升。你的半导体、通信、电子信息和全球成长仓位对这一链条更敏感。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反方解释。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今天并非单纯由地缘事件造成。前期AI硬件拥挤、估值偏高和中报盈利验证压力，可能才是内部主因；外部冲击更像触发器和放大器。</w:t>
      </w:r>
    </w:p>
    <w:p>
      <w:pPr>
        <w:pStyle w:val="Heading2"/>
      </w:pPr>
      <w:r>
        <w:t>2. A股内部：科技拥挤交易进入盈利验证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事实。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上周股票ETF净流入约828亿元，半导体材料设备相关ETF是主要吸金方向；但今天存储、PCB、先进封装、光纤光通信等高位方向集中回撤。7月又进入中报业绩预告密集期，资金从“叙事定价”转向订单、利润和估值匹配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市场验证。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银行、石油天然气、煤炭、燃气等防御与资源方向相对占优，而电子元器件、半导体、电脑硬件和光通信明显承压，符合“高拥挤成长降温、资金向防御再平衡”的解释。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明日事件。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国家统计局日程显示7月14日9:30将发布国民经济运行相关数据。若数据或政策预期明显偏离市场预期，可能改变宽基与成长风格的相对表现。</w:t>
      </w:r>
    </w:p>
    <w:p>
      <w:pPr>
        <w:pStyle w:val="Heading1"/>
      </w:pPr>
      <w:r>
        <w:t>四、主力资金动向：不是简单的科技内轮动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8E6"/>
          <w:left w:val="single" w:sz="2" w:color="FCE8E6"/>
          <w:bottom w:val="single" w:sz="2" w:color="FCE8E6"/>
          <w:right w:val="single" w:sz="2" w:color="FCE8E6"/>
          <w:insideH w:val="single" w:sz="2" w:color="FCE8E6"/>
          <w:insideV w:val="single" w:sz="2" w:color="FCE8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9B1C1C"/>
                <w:sz w:val="22"/>
              </w:rPr>
              <w:t xml:space="preserve">先给结论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按证券时报·数据宝的大单统计口径，7月13日更接近‘全市场大额资金普遍降风险、科技成为主要兑现区’，而不是资金从科技完整迁往另一个进攻板块。只有石油石化和农林牧渔两个申万一级行业为净流入，规模远小于全市场净流出；银行和中药虽然价格相对走强，但不能据此直接写成承接了全部流出资金。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2200"/>
        <w:gridCol w:w="2900"/>
        <w:gridCol w:w="24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观察口径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7月13日读数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判断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下一步验证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沪深两市主力资金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净流出1147.08亿元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大单口径出现显著风险收缩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连续2—3日是否仍大额净流出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行业广度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31个行业中仅2个净流入、29个净流出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接近集体撤退，不是健康的多板块轮动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净流入行业能否扩至8个以上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电子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净流出520.93亿元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是最主要兑现区，占全市场净流出约45%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电子能否缩量止跌并转为净流入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机械设备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净流出112.59亿元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科技制造抛压向设备扩散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设备龙头相对沪深300是否止弱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通信/电力设备/军工/计算机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各净流出均超过60亿元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成长风险并非局限于单一细分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板块间是否出现持续性强弱分化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逆势流入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石油石化+2.62亿元；农林牧渔+0.96亿元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有防御去向但承接规模很小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后续是否连续流入且放量上涨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尾盘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主力净流出126.03亿元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收盘前仍未出现全面回补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次日尾盘是否转为净流入</w:t>
            </w:r>
          </w:p>
        </w:tc>
      </w:tr>
    </w:tbl>
    <w:p>
      <w:pPr>
        <w:spacing w:before="16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对持仓的含义。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你的电子、通信、半导体、集成电路、云计算和多只科技主动基金暴露重叠，因此电子与成长板块的大额净流出会被组合重复放大。沪深300、银行权重和极小的黄金仓位能提供的对冲有限。单日资金流不构成卖出理由，但若连续2—3日出现行业广度恶化、电子继续大额净流出且相对沪深300走弱，‘只是一次获利回吐’的解释将明显变弱。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667085"/>
          <w:sz w:val="20"/>
        </w:rPr>
        <w:t>口径警告。</w:t>
      </w:r>
      <w:r>
        <w:rPr>
          <w:rFonts w:ascii="Calibri" w:hAnsi="Calibri" w:eastAsia="Arial Unicode MS"/>
          <w:b w:val="0"/>
          <w:i w:val="0"/>
          <w:color w:val="667085"/>
          <w:sz w:val="20"/>
        </w:rPr>
        <w:t>这里的‘主力资金’通常是行情软件按主动买卖方向和大单/超大单阈值推算的成交统计，不是交易所披露的机构真实账户流水。不同平台阈值、样本和算法不同，所以看方向、行业广度和持续性，比迷信某一个亿元数字更可靠。</w:t>
      </w:r>
    </w:p>
    <w:p>
      <w:pPr>
        <w:pStyle w:val="Heading1"/>
      </w:pPr>
      <w:r>
        <w:t>五、今天的技术面复盘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2200"/>
        <w:gridCol w:w="3500"/>
        <w:gridCol w:w="21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观察对象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7月13日表现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技术含义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对应持仓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沪深300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-1.79%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跌幅小于成长指数，权重价值相对抗跌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沪深300联接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上证指数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-2.06%，3913.79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早盘-0.75%后继续走弱，日内承接不足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宽基/主动A股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深证成指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-3.48%，14522.85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成长与科技权重拖累明显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电子、半导体、通信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创业板指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-3.10%，3723.52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高弹性成长弱于沪深300约1.31个百分点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主动成长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科创综指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-4.36%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高估值硬科技是主要风险释放区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半导体材料设备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市场宽度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超4600股下跌；逾170股跌停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不是少数权重拖累，而是广泛风险收缩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几乎全部A股仓位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两市成交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2.8178万亿元；缩量5708亿元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跌价缩量说明抛压与接盘同时退潮，尚非放量恐慌出清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观察次日修复质量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恒生指数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+0.16%；成交3095亿港元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大盘横住，但内部风格分化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沪港深与港股QDII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恒生科技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-0.96%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科技弱于恒指1.12个百分点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云计算、全球成长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美股上周五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纳指+0.3%，周+1.7%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海外趋势截至周五仍偏强；周一未收盘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纳指及海外科技QDII</w:t>
            </w:r>
          </w:p>
        </w:tc>
      </w:tr>
    </w:tbl>
    <w:p>
      <w:pPr>
        <w:spacing w:before="16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技术结论。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今天是“低开—弱反弹—继续走低”的广泛风险收缩日，且科技成长显著弱于宽基。缩量大跌不等于止跌：它说明买盘退缩，但尚未出现足以确认筹码充分交换的放量企稳。短线需要等待价格、成交和市场宽度同时改善。</w:t>
      </w:r>
    </w:p>
    <w:p>
      <w:pPr>
        <w:pStyle w:val="Heading2"/>
      </w:pPr>
      <w:r>
        <w:t>持仓基金的净值技术指标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6F4EA"/>
          <w:left w:val="single" w:sz="2" w:color="E6F4EA"/>
          <w:bottom w:val="single" w:sz="2" w:color="E6F4EA"/>
          <w:right w:val="single" w:sz="2" w:color="E6F4EA"/>
          <w:insideH w:val="single" w:sz="2" w:color="E6F4EA"/>
          <w:insideV w:val="single" w:sz="2" w:color="E6F4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6F4E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256D4A"/>
                <w:sz w:val="22"/>
              </w:rPr>
              <w:t xml:space="preserve">数据已主动补齐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已从公开基金净值页面同步19只基金共23,428条正式历史净值。12只境内基金最新净值日期为7月13日；7只QDII最新为7月10日，属于跨时区净值确认时滞，不当作7月13日盘中价格。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组合读数。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剔除已卖待确认的创新药后，18只在持基金中只有3只站上20日均线，对应截图市值7,484.25元、占在持市值18.95%；其余15只占81.05%，均在20日均线下。RSI集中在40.12—59.10，没有极端超买或超卖，说明当前更像趋势降温与结构分化，而不是单一指标给出的反转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820"/>
        <w:gridCol w:w="1900"/>
        <w:gridCol w:w="1420"/>
        <w:gridCol w:w="1100"/>
        <w:gridCol w:w="1100"/>
        <w:gridCol w:w="900"/>
        <w:gridCol w:w="2120"/>
      </w:tblGrid>
      <w:tr>
        <w:trPr>
          <w:tblHeader w:val="true"/>
        </w:trPr>
        <w:tc>
          <w:tcPr>
            <w:tcW w:type="dxa" w:w="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代码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基金（简称）</w:t>
            </w:r>
          </w:p>
        </w:tc>
        <w:tc>
          <w:tcPr>
            <w:tcW w:type="dxa" w:w="1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最新净值/日期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相对MA20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相对MA60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RSI14</w:t>
            </w:r>
          </w:p>
        </w:tc>
        <w:tc>
          <w:tcPr>
            <w:tcW w:type="dxa" w:w="2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结构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007339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沪深300联接C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1.8823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-3.37%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-2.42%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42.23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021894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半导体材料设备C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2.9538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+1.48%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+29.41%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59.10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多头排列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010004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电子信息产业C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2.1446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-5.22%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+4.36%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47.57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012922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全球成长QDII 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4.4216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-7.39%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+5.48%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47.73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021528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财通成长优选C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4.5180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-15.91%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+4.61%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41.65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007818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通信设备联接C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4.0644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-11.23%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-3.83%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41.34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019024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信息行业精选C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2.8973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-10.09%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+4.99%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45.17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024481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财通品质甄选C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2.0279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-16.14%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+4.58%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41.60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017731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全球产业升级QDII 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4.5577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-0.92%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+12.34%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54.50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16"/>
              </w:rPr>
              <w:t>014565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创新药50联接C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1.1934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+7.56%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+7.65%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64.32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已卖待确认；多头排列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019331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沪深港云计算C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2.1602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+2.56%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+1.32%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55.53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站上20日线，结构未完全转强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016665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全球高端制造QDII 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3.3106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-8.06%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+2.29%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46.34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006479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纳指100 QDII 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8.1669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+0.15%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+2.18%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52.74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多头排列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016371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信澳业绩驱动C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2.8609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-13.49%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-4.17%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42.14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006503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集成电路产业C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7.2623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-17.73%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+2.29%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40.12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002891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移动互联QDII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2.9720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-5.46%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+3.66%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49.31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539002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新兴市场QDII A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2.5630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-3.92%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+6.12%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50.52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006373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全球科技互联QDII A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7.4301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-5.17%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+2.89%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48.25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021873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沪深港黄金产业A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1.3736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-3.24%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-13.78%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42.83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空头排列</w:t>
            </w:r>
          </w:p>
        </w:tc>
      </w:tr>
    </w:tbl>
    <w:p>
      <w:pPr>
        <w:pStyle w:val="Heading2"/>
      </w:pPr>
      <w:r>
        <w:t>收益、回撤与相对强弱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850"/>
        <w:gridCol w:w="1200"/>
        <w:gridCol w:w="1200"/>
        <w:gridCol w:w="1500"/>
        <w:gridCol w:w="1500"/>
        <w:gridCol w:w="1555"/>
        <w:gridCol w:w="1555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代码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20日收益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60日收益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60日最大回撤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历史最大回撤</w:t>
            </w:r>
          </w:p>
        </w:tc>
        <w:tc>
          <w:tcPr>
            <w:tcW w:type="dxa" w:w="15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相对沪深300 20日</w:t>
            </w:r>
          </w:p>
        </w:tc>
        <w:tc>
          <w:tcPr>
            <w:tcW w:type="dxa" w:w="15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相对沪深300 60日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007339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-1.08%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+0.96%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-6.37%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-39.79%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+0.00%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+0.00%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021894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+28.58%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+85.48%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-14.70%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-18.41%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+29.66%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+84.52%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010004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+9.33%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+24.79%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-12.26%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-45.98%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+10.41%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+23.83%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012922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+0.17%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+38.16%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-17.49%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-20.22%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-1.51%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+34.36%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021528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-3.83%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+50.20%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-23.72%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-39.05%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-2.75%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+49.24%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007818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-5.70%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+19.21%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-20.07%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-44.36%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-4.62%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+18.25%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019024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+3.81%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+39.21%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-16.94%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-22.39%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+4.89%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+38.25%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024481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-3.81%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+50.20%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-24.07%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-24.07%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-2.74%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+49.24%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017731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+9.16%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+49.11%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-12.13%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-28.05%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+7.48%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+45.31%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16"/>
              </w:rPr>
              <w:t>014565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+16.63%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+0.03%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-19.85%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-45.54%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+17.71%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-0.93%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019331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+5.51%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+5.74%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-10.60%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-27.90%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+6.59%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+4.78%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016665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-0.38%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+35.90%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-18.27%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-30.49%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-2.06%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+32.10%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006479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+0.79%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+15.79%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-7.09%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-31.39%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-0.89%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+11.99%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016371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-5.31%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+22.15%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-23.80%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-58.07%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-4.23%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+21.19%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006503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-7.05%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+47.80%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-25.64%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-53.85%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-5.97%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+46.84%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002891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-1.85%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+31.80%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-18.87%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-66.11%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-3.53%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+27.99%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539002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+1.14%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+39.75%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-16.85%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-39.89%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+0.92%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+34.87%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006373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-1.30%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+28.21%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-15.29%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-34.53%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-2.98%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+24.40%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021873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-7.42%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-26.45%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-30.42%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-45.47%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-6.34%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-27.41%</w:t>
            </w:r>
          </w:p>
        </w:tc>
      </w:tr>
    </w:tbl>
    <w:p>
      <w:pPr>
        <w:spacing w:before="120" w:after="160" w:line="252" w:lineRule="auto"/>
      </w:pPr>
      <w:r>
        <w:rPr>
          <w:rFonts w:ascii="Calibri" w:hAnsi="Calibri" w:eastAsia="Arial Unicode MS"/>
          <w:b/>
          <w:i w:val="0"/>
          <w:color w:val="667085"/>
          <w:sz w:val="19"/>
        </w:rPr>
        <w:t>口径说明。</w:t>
      </w:r>
      <w:r>
        <w:rPr>
          <w:rFonts w:ascii="Calibri" w:hAnsi="Calibri" w:eastAsia="Arial Unicode MS"/>
          <w:b w:val="0"/>
          <w:i w:val="0"/>
          <w:color w:val="667085"/>
          <w:sz w:val="19"/>
        </w:rPr>
        <w:t>MA20/MA60为最近20/60个已公布净值观察值的简单均线；RSI14使用Wilder平滑；回撤由基金净值序列计算，不等同于你的账户回撤；相对强弱为基金同期收益减去007339沪深300联接C同期收益。QDII日期按其已公布净值，不用7月13日海外盘中行情回填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CE"/>
          <w:left w:val="single" w:sz="2" w:color="FFF4CE"/>
          <w:bottom w:val="single" w:sz="2" w:color="FFF4CE"/>
          <w:right w:val="single" w:sz="2" w:color="FFF4CE"/>
          <w:insideH w:val="single" w:sz="2" w:color="FFF4CE"/>
          <w:insideV w:val="single" w:sz="2" w:color="FFF4CE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2"/>
              </w:rPr>
              <w:t xml:space="preserve">持仓技术结论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半导体材料设备联接C仍是最强持仓：净值高于MA20约1.48%、高于MA60约29.41%，RSI 59.10，20日相对沪深300强约29.66个百分点。云计算联接C和纳指100联接C也在MA20上方。相对较弱的在持基金是集成电路产业C、财通品质甄选C和财通成长优选C，分别低于MA20约17.73%、16.14%和15.91%。这些是趋势状态，不是脱离费用与持有期的即时买卖指令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六、预测：概率、验证与失效条件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 xml:space="preserve">预测结论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下一交易日的基准判断是‘先尝试技术修复、随后继续分化’，不是确认见底；未来1—2周的基准判断是‘高位科技去拥挤与盈利验证并行，指数震荡、个股分化加大’。这是基于7月13日收盘信息作出的条件概率，后续资金流、价格和成交会动态改写概率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下一交易日情景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00"/>
        <w:gridCol w:w="800"/>
        <w:gridCol w:w="2300"/>
        <w:gridCol w:w="2800"/>
        <w:gridCol w:w="18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情景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概率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因果链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验证信号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持仓动作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基准：弱修复后分化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50%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普跌后的技术反抽 + 资金仍谨慎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沪指守3900；上涨家数改善但不足压倒性；电子净流出明显收窄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不追反弹；观察最强持仓能否率先转强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偏弱：继续释放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30%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尾盘未回补 + 科技拥挤继续松动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沪指有效跌破3900；不足1000股上涨；电子/计算机继续放量净流出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优先压降重复科技暴露，执行前核费用与到账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7"/>
              </w:rPr>
              <w:t>偏强：放量修复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20%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宏观预期改善 + ETF/主动资金承接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上涨家数超过3500；电子与通信转净流入；指数接近日内高位收盘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只讨论分批调整，不在单日急涨中追高</w:t>
            </w:r>
          </w:p>
        </w:tc>
      </w:tr>
    </w:tbl>
    <w:p>
      <w:pPr>
        <w:pStyle w:val="Heading2"/>
      </w:pPr>
      <w:r>
        <w:t>未来1—2周情景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50"/>
        <w:gridCol w:w="1200"/>
        <w:gridCol w:w="3250"/>
        <w:gridCol w:w="2360"/>
      </w:tblGrid>
      <w:tr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情景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主观概率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验证信号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当前动作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基准：科技去拥挤、指数震荡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50%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资金流出收窄但科技内部强弱分化；中报决定持续性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保留强趋势仓位，审查弱趋势与重复暴露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偏强：资金回流且盈利兑现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25%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科技连续3日强于沪深300，成交与上涨家数同步改善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仅在验证后分批调整，不提前押注V形反转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偏弱：外部利率与内部盈利共振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25%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油价/美债再升，核心公司盈利预期下修，科技放量破位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优先降低主题集中度并执行8%回撤纪律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最强反方观点。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上周股票ETF仍大幅净流入，7月13日可能只是极端拥挤交易的一次快速清洗；若资金很快回流半导体材料设备、核心公司中报继续上修，当前谨慎预测会低估V形修复。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推翻基准预测的证据。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偏强方向：连续3个交易日电子/通信主力净流入、上涨家数占优、科技相对沪深300转强。偏弱方向：沪指跌破关键位后不能收回，成交放大、行业净流出广度维持高位且盈利预期下调。任何一组证据成立，都要重新分配情景概率。</w:t>
      </w:r>
    </w:p>
    <w:p>
      <w:pPr>
        <w:pStyle w:val="Heading1"/>
      </w:pPr>
      <w:r>
        <w:t>七、行动草案与风险否决</w:t>
      </w:r>
    </w:p>
    <w:p>
      <w:pPr>
        <w:pStyle w:val="Heading2"/>
      </w:pPr>
      <w:r>
        <w:t>按统一日期与费率生成的赎回草案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8E6"/>
          <w:left w:val="single" w:sz="2" w:color="FCE8E6"/>
          <w:bottom w:val="single" w:sz="2" w:color="FCE8E6"/>
          <w:right w:val="single" w:sz="2" w:color="FCE8E6"/>
          <w:insideH w:val="single" w:sz="2" w:color="FCE8E6"/>
          <w:insideV w:val="single" w:sz="2" w:color="FCE8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9B1C1C"/>
                <w:sz w:val="22"/>
              </w:rPr>
              <w:t xml:space="preserve">草案汇总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确定性规则触发14只退出审查，模型市值合计 29,629.51 元；按0.5%估算赎回费用 148.14 元，净到账约 29,481.37 元。未触发的4只合计约 8,695.42 元。金额均为研究草案，不会自动下单。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800"/>
        <w:gridCol w:w="1900"/>
        <w:gridCol w:w="1150"/>
        <w:gridCol w:w="800"/>
        <w:gridCol w:w="1050"/>
        <w:gridCol w:w="1150"/>
        <w:gridCol w:w="2510"/>
      </w:tblGrid>
      <w:tr>
        <w:trPr>
          <w:tblHeader w:val="true"/>
        </w:trPr>
        <w:tc>
          <w:tcPr>
            <w:tcW w:type="dxa" w:w="80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代码</w:t>
            </w:r>
          </w:p>
        </w:tc>
        <w:tc>
          <w:tcPr>
            <w:tcW w:type="dxa" w:w="190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基金（简称）</w:t>
            </w:r>
          </w:p>
        </w:tc>
        <w:tc>
          <w:tcPr>
            <w:tcW w:type="dxa" w:w="115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模型市值</w:t>
            </w:r>
          </w:p>
        </w:tc>
        <w:tc>
          <w:tcPr>
            <w:tcW w:type="dxa" w:w="80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费率</w:t>
            </w:r>
          </w:p>
        </w:tc>
        <w:tc>
          <w:tcPr>
            <w:tcW w:type="dxa" w:w="105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估算费用</w:t>
            </w:r>
          </w:p>
        </w:tc>
        <w:tc>
          <w:tcPr>
            <w:tcW w:type="dxa" w:w="115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净到账</w:t>
            </w:r>
          </w:p>
        </w:tc>
        <w:tc>
          <w:tcPr>
            <w:tcW w:type="dxa" w:w="251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触发依据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007339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沪深300联接C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9,830.27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49.15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9,781.12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持仓收益-1.70%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010004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电子信息产业C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4,642.20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23.21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4,618.99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持仓收益-7.16%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012922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全球成长QDII 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3,077.02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15.39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3,061.63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持仓收益35.48%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021528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财通成长优选C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2,448.39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12.24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2,436.15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持仓收益-15.78%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007818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通信设备联接C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1,951.93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9.76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1,942.17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持仓收益-2.40%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019024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信息行业精选C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1,730.62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8.65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1,721.97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持仓收益-13.47%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024481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财通品质甄选C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1,580.46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7.90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1,572.56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持仓收益-20.98%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016665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全球高端制造QDII 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1,313.53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6.57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1,306.96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持仓收益1.04%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016371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信澳业绩驱动C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809.61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4.05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805.56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持仓收益-19.04%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006503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集成电路产业C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754.04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3.77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750.27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持仓收益-24.60%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002891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移动互联QDII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752.37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3.76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748.61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持仓收益-5.95%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539002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新兴市场QDII 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524.62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2.62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522.00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持仓收益-1.02%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006373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全球科技互联QDII 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212.83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1.06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211.77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持仓收益6.42%</w:t>
              <w:br/>
              <w:t>连续两日低于20日均线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021873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沪深港黄金产业A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1.62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0.50%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0.01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1.61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持仓收益-34.52%</w:t>
              <w:br/>
              <w:t>连续两日低于20日均线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6F4EA"/>
          <w:left w:val="single" w:sz="2" w:color="E6F4EA"/>
          <w:bottom w:val="single" w:sz="2" w:color="E6F4EA"/>
          <w:right w:val="single" w:sz="2" w:color="E6F4EA"/>
          <w:insideH w:val="single" w:sz="2" w:color="E6F4EA"/>
          <w:insideV w:val="single" w:sz="2" w:color="E6F4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6F4E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256D4A"/>
                <w:sz w:val="22"/>
              </w:rPr>
              <w:t xml:space="preserve">风险官结论：已生成金额草案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不再以申购日期、估算份额或宽口径费率缺失为由停止计算。当前草案使用7月3日统一申购日期和0.5%赎回费；真正提交前只需知道平台最终费率可能与模型不同，并由你本人确认。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推翻“继续震荡”判断的证据：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连续交易日出现科技相对沪深300转强、成交额回升、上涨家数显著占优，并由中报订单与利润兑现配合。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推翻“只是技术性调整”的证据：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科技主题持续放量下跌、核心持仓盈利预期下修、AI资本开支或半导体设备订单出现实质性下调，同时账户真实回撤触发8%纪律线。</w:t>
      </w:r>
    </w:p>
    <w:p>
      <w:pPr>
        <w:pStyle w:val="Heading1"/>
      </w:pPr>
      <w:r>
        <w:t>八、今日知识点：怎样正确使用‘主力资金’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CE"/>
          <w:left w:val="single" w:sz="2" w:color="FFF4CE"/>
          <w:bottom w:val="single" w:sz="2" w:color="FFF4CE"/>
          <w:right w:val="single" w:sz="2" w:color="FFF4CE"/>
          <w:insideH w:val="single" w:sz="2" w:color="FFF4CE"/>
          <w:insideV w:val="single" w:sz="2" w:color="FFF4CE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2"/>
              </w:rPr>
              <w:t xml:space="preserve">一句话教学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主力资金不是机构账户流水，而是按成交方向与订单大小推算的市场行为指标。它适合回答‘风险偏好正在扩散还是收缩’，不适合单独回答‘明天一定涨还是跌’。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第一层：价格。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资金流出时价格是否同步下跌？7月13日电子大额净流出且板块下跌，信号相互确认。</w:t>
      </w:r>
    </w:p>
    <w:p>
      <w:pPr>
        <w:spacing w:before="0" w:after="10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第二层：成交。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下跌是放量恐慌还是缩量退潮？当天总成交缩量，说明买卖双方都在退缩，不能直接视为充分出清。</w:t>
      </w:r>
    </w:p>
    <w:p>
      <w:pPr>
        <w:spacing w:before="0" w:after="10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第三层：广度。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只有电子下跌，还是多数行业一起流出？当天29个申万一级行业净流出，风险收缩具有广度。</w:t>
      </w:r>
    </w:p>
    <w:p>
      <w:pPr>
        <w:spacing w:before="0" w:after="10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第四层：持续性。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单日异常容易反转；连续2—3日同方向，且相对强弱不修复，可信度才明显上升。</w:t>
      </w:r>
    </w:p>
    <w:p>
      <w:pPr>
        <w:spacing w:before="0" w:after="10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放到你的持仓。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半导体材料设备C仍在MA20上方，说明它虽受板块冲击但趋势相对更强；集成电路产业C远低于MA20，若资金流继续恶化，应优先审查弱趋势和重复暴露，而不是把所有科技基金一刀切。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6F4EA"/>
          <w:left w:val="single" w:sz="2" w:color="E6F4EA"/>
          <w:bottom w:val="single" w:sz="2" w:color="E6F4EA"/>
          <w:right w:val="single" w:sz="2" w:color="E6F4EA"/>
          <w:insideH w:val="single" w:sz="2" w:color="E6F4EA"/>
          <w:insideV w:val="single" w:sz="2" w:color="E6F4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6F4E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256D4A"/>
                <w:sz w:val="22"/>
              </w:rPr>
              <w:t xml:space="preserve">可复用检查句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以后看到‘主力净流出’先问四个问题：价格确认了吗？成交放大了吗？行业广度有多大？持续了几天？四项越一致，信号越可靠。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九、下一步需要补齐的信息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9"/>
              </w:rPr>
              <w:t>每只基金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模型已反推份额与成本净值；如平台份额不同，之后用实值覆盖模型值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9"/>
              </w:rPr>
              <w:t>交易状态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创新药赎回申请时间、确认份额/净值、到账金额与费用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9"/>
              </w:rPr>
              <w:t>账户层面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当前现金余额、账户历史高点、是否还有未迁移基金或在途交易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9"/>
              </w:rPr>
              <w:t>费用与限制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已按宽口径0.5%生成草案；平台最终费率仅作为执行前偏差提醒</w:t>
            </w:r>
          </w:p>
        </w:tc>
      </w:tr>
    </w:tbl>
    <w:p>
      <w:r>
        <w:br w:type="page"/>
      </w:r>
    </w:p>
    <w:p>
      <w:pPr>
        <w:pStyle w:val="Heading1"/>
      </w:pPr>
      <w:r>
        <w:t>十、来源与口径</w:t>
      </w:r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本地持仓底稿：</w:t>
      </w:r>
      <w:r>
        <w:rPr>
          <w:rFonts w:ascii="Calibri" w:hAnsi="Calibri" w:eastAsia="Arial Unicode MS"/>
          <w:b w:val="0"/>
          <w:i w:val="0"/>
          <w:color w:val="1F2937"/>
          <w:sz w:val="20"/>
        </w:rPr>
        <w:t>data/holding-intake.csv（截图迁移，时点2026-07-12）</w:t>
      </w:r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建模假设：</w:t>
      </w:r>
      <w:r>
        <w:rPr>
          <w:rFonts w:ascii="Calibri" w:hAnsi="Calibri" w:eastAsia="Arial Unicode MS"/>
          <w:b w:val="0"/>
          <w:i w:val="0"/>
          <w:color w:val="1F2937"/>
          <w:sz w:val="20"/>
        </w:rPr>
        <w:t>config/model-assumptions.json（7月3日统一申购；满7日按0.5%赎回费）</w:t>
      </w:r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基金净值历史：</w:t>
      </w:r>
      <w:hyperlink r:id="rId11">
        <w:r>
          <w:rPr>
            <w:rFonts w:ascii="Calibri" w:hAnsi="Calibri" w:eastAsia="Arial Unicode MS"/>
            <w:color w:val="2E74B5"/>
            <w:u w:val="single"/>
            <w:sz w:val="20"/>
          </w:rPr>
          <w:t>天天基金公开净值页面；19只基金逐条URL与抓取时间已保存于data/nav-history.csv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A股收盘与成交：</w:t>
      </w:r>
      <w:hyperlink r:id="rId12">
        <w:r>
          <w:rPr>
            <w:rFonts w:ascii="Calibri" w:hAnsi="Calibri" w:eastAsia="Arial Unicode MS"/>
            <w:color w:val="2E74B5"/>
            <w:u w:val="single"/>
            <w:sz w:val="20"/>
          </w:rPr>
          <w:t>每日经济新闻｜7月13日A股收盘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宽基指数表现：</w:t>
      </w:r>
      <w:hyperlink r:id="rId13">
        <w:r>
          <w:rPr>
            <w:rFonts w:ascii="Calibri" w:hAnsi="Calibri" w:eastAsia="Arial Unicode MS"/>
            <w:color w:val="2E74B5"/>
            <w:u w:val="single"/>
            <w:sz w:val="20"/>
          </w:rPr>
          <w:t>金融界｜7月13日宽基指数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A股跌幅与原因：</w:t>
      </w:r>
      <w:hyperlink r:id="rId14">
        <w:r>
          <w:rPr>
            <w:rFonts w:ascii="Calibri" w:hAnsi="Calibri" w:eastAsia="Arial Unicode MS"/>
            <w:color w:val="2E74B5"/>
            <w:u w:val="single"/>
            <w:sz w:val="20"/>
          </w:rPr>
          <w:t>东方财富｜A股大跌，发生了什么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ETF资金流：</w:t>
      </w:r>
      <w:hyperlink r:id="rId15">
        <w:r>
          <w:rPr>
            <w:rFonts w:ascii="Calibri" w:hAnsi="Calibri" w:eastAsia="Arial Unicode MS"/>
            <w:color w:val="2E74B5"/>
            <w:u w:val="single"/>
            <w:sz w:val="20"/>
          </w:rPr>
          <w:t>东方财富｜股票ETF单周净流入近830亿元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主力资金全景：</w:t>
      </w:r>
      <w:hyperlink r:id="rId16">
        <w:r>
          <w:rPr>
            <w:rFonts w:ascii="Calibri" w:hAnsi="Calibri" w:eastAsia="Arial Unicode MS"/>
            <w:color w:val="2E74B5"/>
            <w:u w:val="single"/>
            <w:sz w:val="20"/>
          </w:rPr>
          <w:t>证券时报·数据宝｜7月13日行业及尾盘主力资金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主力资金方法：</w:t>
      </w:r>
      <w:hyperlink r:id="rId17">
        <w:r>
          <w:rPr>
            <w:rFonts w:ascii="Calibri" w:hAnsi="Calibri" w:eastAsia="Arial Unicode MS"/>
            <w:color w:val="2E74B5"/>
            <w:u w:val="single"/>
            <w:sz w:val="20"/>
          </w:rPr>
          <w:t>东方财富资金流向数据中心及大单统计口径说明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两融与周度资金：</w:t>
      </w:r>
      <w:hyperlink r:id="rId18">
        <w:r>
          <w:rPr>
            <w:rFonts w:ascii="Calibri" w:hAnsi="Calibri" w:eastAsia="Arial Unicode MS"/>
            <w:color w:val="2E74B5"/>
            <w:u w:val="single"/>
            <w:sz w:val="20"/>
          </w:rPr>
          <w:t>证券时报｜热点轮动加快，主力资金与两融资金现分歧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港股收盘：</w:t>
      </w:r>
      <w:hyperlink r:id="rId19">
        <w:r>
          <w:rPr>
            <w:rFonts w:ascii="Calibri" w:hAnsi="Calibri" w:eastAsia="Arial Unicode MS"/>
            <w:color w:val="2E74B5"/>
            <w:u w:val="single"/>
            <w:sz w:val="20"/>
          </w:rPr>
          <w:t>新浪财经/智通｜7月13日港股收盘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全球市场与利率：</w:t>
      </w:r>
      <w:hyperlink r:id="rId20">
        <w:r>
          <w:rPr>
            <w:rFonts w:ascii="Calibri" w:hAnsi="Calibri" w:eastAsia="Arial Unicode MS"/>
            <w:color w:val="2E74B5"/>
            <w:u w:val="single"/>
            <w:sz w:val="20"/>
          </w:rPr>
          <w:t>AP｜7月13日油价、亚洲股市与美债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美股上周五：</w:t>
      </w:r>
      <w:hyperlink r:id="rId21">
        <w:r>
          <w:rPr>
            <w:rFonts w:ascii="Calibri" w:hAnsi="Calibri" w:eastAsia="Arial Unicode MS"/>
            <w:color w:val="2E74B5"/>
            <w:u w:val="single"/>
            <w:sz w:val="20"/>
          </w:rPr>
          <w:t>AP｜7月10日美国主要指数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统计数据日程：</w:t>
      </w:r>
      <w:hyperlink r:id="rId22">
        <w:r>
          <w:rPr>
            <w:rFonts w:ascii="Calibri" w:hAnsi="Calibri" w:eastAsia="Arial Unicode MS"/>
            <w:color w:val="2E74B5"/>
            <w:u w:val="single"/>
            <w:sz w:val="20"/>
          </w:rPr>
          <w:t>国家统计局｜2026年主要统计信息发布日程</w:t>
        </w:r>
      </w:hyperlink>
    </w:p>
    <w:p>
      <w:pPr>
        <w:spacing w:before="200" w:after="0" w:line="252" w:lineRule="auto"/>
      </w:pPr>
      <w:r>
        <w:rPr>
          <w:rFonts w:ascii="Calibri" w:hAnsi="Calibri" w:eastAsia="Arial Unicode MS"/>
          <w:b/>
          <w:i w:val="0"/>
          <w:color w:val="667085"/>
          <w:sz w:val="19"/>
        </w:rPr>
        <w:t>免责声明：</w:t>
      </w:r>
      <w:r>
        <w:rPr>
          <w:rFonts w:ascii="Calibri" w:hAnsi="Calibri" w:eastAsia="Arial Unicode MS"/>
          <w:b w:val="0"/>
          <w:i w:val="0"/>
          <w:color w:val="667085"/>
          <w:sz w:val="19"/>
        </w:rPr>
        <w:t>本报告用于个人研究与仓位核对，不承诺收益，不替代基金销售平台的正式净值、费率与交易确认。场外基金按未知价申赎，QDII还存在时区与净值确认时滞；任何交易需由你本人核对并手工确认。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Arial Unicode MS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Arial Unicode MS"/>
        <w:b/>
        <w:i w:val="0"/>
        <w:color w:val="667085"/>
        <w:sz w:val="18"/>
      </w:rPr>
      <w:t>基金账户复盘  ·  研究记录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und.eastmoney.com/007339.html" TargetMode="External"/><Relationship Id="rId12" Type="http://schemas.openxmlformats.org/officeDocument/2006/relationships/hyperlink" Target="https://www.nbd.com.cn/articles/2026-07-13/4469407.html" TargetMode="External"/><Relationship Id="rId13" Type="http://schemas.openxmlformats.org/officeDocument/2006/relationships/hyperlink" Target="https://finance.jrj.com.cn/2026/07/13151657779197.shtml" TargetMode="External"/><Relationship Id="rId14" Type="http://schemas.openxmlformats.org/officeDocument/2006/relationships/hyperlink" Target="https://finance.eastmoney.com/a/202607133804134796.html" TargetMode="External"/><Relationship Id="rId15" Type="http://schemas.openxmlformats.org/officeDocument/2006/relationships/hyperlink" Target="https://finance.eastmoney.com/a/202607133803694914.html" TargetMode="External"/><Relationship Id="rId16" Type="http://schemas.openxmlformats.org/officeDocument/2006/relationships/hyperlink" Target="https://finance.sina.com.cn/stock/zqgd/2026-07-13/doc-inihscme5765600.shtml" TargetMode="External"/><Relationship Id="rId17" Type="http://schemas.openxmlformats.org/officeDocument/2006/relationships/hyperlink" Target="https://data.eastmoney.com/zjlx/" TargetMode="External"/><Relationship Id="rId18" Type="http://schemas.openxmlformats.org/officeDocument/2006/relationships/hyperlink" Target="https://www.stcn.com/article/detail/4012463.html" TargetMode="External"/><Relationship Id="rId19" Type="http://schemas.openxmlformats.org/officeDocument/2006/relationships/hyperlink" Target="https://finance.sina.com.cn/stock/hkstock/hkstocknews/2026-07-13/doc-inihscma8936694.shtml" TargetMode="External"/><Relationship Id="rId20" Type="http://schemas.openxmlformats.org/officeDocument/2006/relationships/hyperlink" Target="https://apnews.com/article/2d6744b09c68b5473d0bc8584b89e60e" TargetMode="External"/><Relationship Id="rId21" Type="http://schemas.openxmlformats.org/officeDocument/2006/relationships/hyperlink" Target="https://apnews.com/article/d3c5b8171e25e98da62831181de9a666" TargetMode="External"/><Relationship Id="rId22" Type="http://schemas.openxmlformats.org/officeDocument/2006/relationships/hyperlink" Target="https://www.stats.gov.cn/xw/tjxw/tzgg/202512/t20251224_196213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