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B0BA" w14:textId="77777777" w:rsidR="00DC2525" w:rsidRPr="003A2D5D" w:rsidRDefault="00000000" w:rsidP="00390326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3A2D5D">
        <w:rPr>
          <w:rFonts w:ascii="Times New Roman" w:hAnsi="Times New Roman" w:cs="Times New Roman"/>
          <w:b/>
          <w:bCs/>
          <w:sz w:val="21"/>
          <w:szCs w:val="21"/>
        </w:rPr>
        <w:t>General courts, specialized courts, and the complementarity effect</w:t>
      </w:r>
    </w:p>
    <w:p w14:paraId="1874C1FD" w14:textId="3A767B98" w:rsidR="00DC2525" w:rsidRPr="003A2D5D" w:rsidRDefault="00000000" w:rsidP="00390326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3A2D5D">
        <w:rPr>
          <w:rFonts w:ascii="Times New Roman" w:hAnsi="Times New Roman" w:cs="Times New Roman"/>
          <w:b/>
          <w:bCs/>
          <w:sz w:val="21"/>
          <w:szCs w:val="21"/>
        </w:rPr>
        <w:t>(R</w:t>
      </w:r>
      <w:r w:rsidR="00390326" w:rsidRPr="003A2D5D">
        <w:rPr>
          <w:rFonts w:ascii="Times New Roman" w:hAnsi="Times New Roman" w:cs="Times New Roman"/>
          <w:b/>
          <w:bCs/>
          <w:sz w:val="21"/>
          <w:szCs w:val="21"/>
        </w:rPr>
        <w:t>egulation &amp; Governance</w:t>
      </w:r>
      <w:r w:rsidRPr="003A2D5D">
        <w:rPr>
          <w:rFonts w:ascii="Times New Roman" w:hAnsi="Times New Roman" w:cs="Times New Roman"/>
          <w:b/>
          <w:bCs/>
          <w:sz w:val="21"/>
          <w:szCs w:val="21"/>
        </w:rPr>
        <w:t>)</w:t>
      </w:r>
    </w:p>
    <w:p w14:paraId="0D5F08CD" w14:textId="2FAD9E29" w:rsidR="00C83B46" w:rsidRPr="00AC29E9" w:rsidRDefault="00C83B46" w:rsidP="00390326">
      <w:pPr>
        <w:rPr>
          <w:b/>
          <w:bCs/>
          <w:sz w:val="21"/>
          <w:szCs w:val="21"/>
        </w:rPr>
      </w:pPr>
      <w:r w:rsidRPr="00AC29E9">
        <w:rPr>
          <w:rFonts w:hint="eastAsia"/>
          <w:b/>
          <w:bCs/>
          <w:sz w:val="21"/>
          <w:szCs w:val="21"/>
        </w:rPr>
        <w:t>·本文作者</w:t>
      </w:r>
    </w:p>
    <w:p w14:paraId="32996A48" w14:textId="481ABAE1" w:rsidR="00DA7CF4" w:rsidRPr="00390326" w:rsidRDefault="00DA7CF4" w:rsidP="00390326">
      <w:pPr>
        <w:rPr>
          <w:rFonts w:ascii="Helvetica" w:hAnsi="Helvetica" w:cs="Helvetica"/>
          <w:color w:val="000000"/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rFonts w:ascii="Times New Roman" w:hAnsi="Times New Roman" w:cs="Times New Roman"/>
          <w:color w:val="000000"/>
          <w:sz w:val="21"/>
          <w:szCs w:val="21"/>
        </w:rPr>
        <w:t xml:space="preserve">Ehud </w:t>
      </w:r>
      <w:proofErr w:type="spellStart"/>
      <w:r w:rsidRPr="00390326">
        <w:rPr>
          <w:rFonts w:ascii="Times New Roman" w:hAnsi="Times New Roman" w:cs="Times New Roman"/>
          <w:color w:val="000000"/>
          <w:sz w:val="21"/>
          <w:szCs w:val="21"/>
        </w:rPr>
        <w:t>Guttel</w:t>
      </w:r>
      <w:proofErr w:type="spellEnd"/>
      <w:r w:rsidRPr="00390326">
        <w:rPr>
          <w:rFonts w:ascii="Helvetica" w:hAnsi="Helvetica" w:cs="Helvetica" w:hint="eastAsia"/>
          <w:color w:val="000000"/>
          <w:sz w:val="21"/>
          <w:szCs w:val="21"/>
        </w:rPr>
        <w:t>，希伯来大学，法律系</w:t>
      </w:r>
    </w:p>
    <w:p w14:paraId="56FBCEEC" w14:textId="76B5F881" w:rsidR="00DA7CF4" w:rsidRPr="00390326" w:rsidRDefault="00DA7CF4" w:rsidP="00390326">
      <w:pPr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bookmarkStart w:id="0" w:name="OLE_LINK2"/>
      <w:r w:rsidRPr="00390326">
        <w:rPr>
          <w:rFonts w:ascii="Times New Roman" w:hAnsi="Times New Roman" w:cs="Times New Roman"/>
          <w:color w:val="000000"/>
          <w:sz w:val="21"/>
          <w:szCs w:val="21"/>
        </w:rPr>
        <w:t xml:space="preserve">Alon </w:t>
      </w:r>
      <w:proofErr w:type="spellStart"/>
      <w:r w:rsidRPr="00390326">
        <w:rPr>
          <w:rFonts w:ascii="Times New Roman" w:hAnsi="Times New Roman" w:cs="Times New Roman"/>
          <w:color w:val="000000"/>
          <w:sz w:val="21"/>
          <w:szCs w:val="21"/>
        </w:rPr>
        <w:t>Harel</w:t>
      </w:r>
      <w:bookmarkEnd w:id="0"/>
      <w:proofErr w:type="spellEnd"/>
      <w:r w:rsidRPr="00390326">
        <w:rPr>
          <w:rFonts w:ascii="Times New Roman" w:hAnsi="Times New Roman" w:cs="Times New Roman" w:hint="eastAsia"/>
          <w:color w:val="000000"/>
          <w:sz w:val="21"/>
          <w:szCs w:val="21"/>
        </w:rPr>
        <w:t>，希伯来大学，法律系</w:t>
      </w:r>
    </w:p>
    <w:p w14:paraId="1005FBE3" w14:textId="44801F3B" w:rsidR="00DA7CF4" w:rsidRPr="00390326" w:rsidRDefault="00DA7CF4" w:rsidP="00390326">
      <w:pPr>
        <w:ind w:firstLine="420"/>
        <w:rPr>
          <w:rFonts w:ascii="Helvetica" w:hAnsi="Helvetica" w:cs="Helvetica"/>
          <w:color w:val="000000"/>
          <w:sz w:val="21"/>
          <w:szCs w:val="21"/>
        </w:rPr>
      </w:pPr>
      <w:r w:rsidRPr="00390326">
        <w:rPr>
          <w:rFonts w:ascii="Times New Roman" w:hAnsi="Times New Roman" w:cs="Times New Roman"/>
          <w:color w:val="000000"/>
          <w:sz w:val="21"/>
          <w:szCs w:val="21"/>
        </w:rPr>
        <w:t xml:space="preserve">Yuval </w:t>
      </w:r>
      <w:proofErr w:type="spellStart"/>
      <w:r w:rsidRPr="00390326">
        <w:rPr>
          <w:rFonts w:ascii="Times New Roman" w:hAnsi="Times New Roman" w:cs="Times New Roman"/>
          <w:color w:val="000000"/>
          <w:sz w:val="21"/>
          <w:szCs w:val="21"/>
        </w:rPr>
        <w:t>Procaccia</w:t>
      </w:r>
      <w:proofErr w:type="spellEnd"/>
      <w:r w:rsidRPr="00390326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bookmarkStart w:id="1" w:name="OLE_LINK1"/>
      <w:r w:rsidRPr="00390326">
        <w:rPr>
          <w:rFonts w:ascii="Times New Roman" w:hAnsi="Times New Roman" w:cs="Times New Roman" w:hint="eastAsia"/>
          <w:color w:val="000000"/>
          <w:sz w:val="21"/>
          <w:szCs w:val="21"/>
        </w:rPr>
        <w:t>瑞其蒙大学，赫兹利亚</w:t>
      </w:r>
      <w:r w:rsidRPr="00390326">
        <w:rPr>
          <w:rFonts w:ascii="Helvetica" w:hAnsi="Helvetica" w:cs="Helvetica" w:hint="eastAsia"/>
          <w:color w:val="000000"/>
          <w:sz w:val="21"/>
          <w:szCs w:val="21"/>
        </w:rPr>
        <w:t>法学院</w:t>
      </w:r>
    </w:p>
    <w:p w14:paraId="471C97D4" w14:textId="7C719CB3" w:rsidR="004C33C7" w:rsidRPr="00390326" w:rsidRDefault="007F5894" w:rsidP="00390326">
      <w:pPr>
        <w:jc w:val="center"/>
        <w:rPr>
          <w:sz w:val="21"/>
          <w:szCs w:val="21"/>
        </w:rPr>
      </w:pPr>
      <w:r w:rsidRPr="00390326">
        <w:rPr>
          <w:sz w:val="21"/>
          <w:szCs w:val="21"/>
        </w:rPr>
        <w:fldChar w:fldCharType="begin"/>
      </w:r>
      <w:r w:rsidRPr="00390326">
        <w:rPr>
          <w:sz w:val="21"/>
          <w:szCs w:val="21"/>
        </w:rPr>
        <w:instrText xml:space="preserve"> INCLUDEPICTURE "/var/folders/v8/8fg43mg56b98fmvv5301b0n00000gn/T/com.microsoft.Word/WebArchiveCopyPasteTempFiles/eg.jpg?m=1481648147&amp;itok=-tZRoHae" \* MERGEFORMATINET </w:instrText>
      </w:r>
      <w:r w:rsidRPr="00390326">
        <w:rPr>
          <w:sz w:val="21"/>
          <w:szCs w:val="21"/>
        </w:rPr>
        <w:fldChar w:fldCharType="separate"/>
      </w:r>
      <w:r w:rsidRPr="00390326">
        <w:rPr>
          <w:noProof/>
          <w:sz w:val="21"/>
          <w:szCs w:val="21"/>
        </w:rPr>
        <w:drawing>
          <wp:inline distT="0" distB="0" distL="0" distR="0" wp14:anchorId="5BD67408" wp14:editId="79BA5591">
            <wp:extent cx="1277827" cy="1565384"/>
            <wp:effectExtent l="0" t="0" r="5080" b="0"/>
            <wp:docPr id="3" name="图片 3" descr="Ehud Gut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hud Gutt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396" cy="15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326">
        <w:rPr>
          <w:sz w:val="21"/>
          <w:szCs w:val="21"/>
        </w:rPr>
        <w:fldChar w:fldCharType="end"/>
      </w:r>
      <w:r w:rsidR="004C33C7" w:rsidRPr="00390326">
        <w:rPr>
          <w:sz w:val="21"/>
          <w:szCs w:val="21"/>
        </w:rPr>
        <w:t xml:space="preserve"> </w:t>
      </w:r>
      <w:r w:rsidR="004C33C7" w:rsidRPr="00390326">
        <w:rPr>
          <w:sz w:val="21"/>
          <w:szCs w:val="21"/>
        </w:rPr>
        <w:fldChar w:fldCharType="begin"/>
      </w:r>
      <w:r w:rsidR="004C33C7" w:rsidRPr="00390326">
        <w:rPr>
          <w:sz w:val="21"/>
          <w:szCs w:val="21"/>
        </w:rPr>
        <w:instrText xml:space="preserve"> INCLUDEPICTURE "/var/folders/v8/8fg43mg56b98fmvv5301b0n00000gn/T/com.microsoft.Word/WebArchiveCopyPasteTempFiles/drg_9098_douglas_guthrie_photos.jpg?m=1511710514&amp;itok=_PEVzyF_" \* MERGEFORMATINET </w:instrText>
      </w:r>
      <w:r w:rsidR="004C33C7" w:rsidRPr="00390326">
        <w:rPr>
          <w:sz w:val="21"/>
          <w:szCs w:val="21"/>
        </w:rPr>
        <w:fldChar w:fldCharType="separate"/>
      </w:r>
      <w:r w:rsidR="004C33C7" w:rsidRPr="00390326">
        <w:rPr>
          <w:noProof/>
          <w:sz w:val="21"/>
          <w:szCs w:val="21"/>
        </w:rPr>
        <w:drawing>
          <wp:inline distT="0" distB="0" distL="0" distR="0" wp14:anchorId="66E205B4" wp14:editId="22FAC1E8">
            <wp:extent cx="1290320" cy="1580688"/>
            <wp:effectExtent l="0" t="0" r="5080" b="0"/>
            <wp:docPr id="4" name="图片 4" descr="Alon H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on Har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63" cy="16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3C7" w:rsidRPr="00390326">
        <w:rPr>
          <w:sz w:val="21"/>
          <w:szCs w:val="21"/>
        </w:rPr>
        <w:fldChar w:fldCharType="end"/>
      </w:r>
      <w:r w:rsidR="004C33C7" w:rsidRPr="00390326">
        <w:rPr>
          <w:sz w:val="21"/>
          <w:szCs w:val="21"/>
        </w:rPr>
        <w:t xml:space="preserve"> </w:t>
      </w:r>
      <w:r w:rsidR="004C33C7" w:rsidRPr="00390326">
        <w:rPr>
          <w:sz w:val="21"/>
          <w:szCs w:val="21"/>
        </w:rPr>
        <w:fldChar w:fldCharType="begin"/>
      </w:r>
      <w:r w:rsidR="004C33C7" w:rsidRPr="00390326">
        <w:rPr>
          <w:sz w:val="21"/>
          <w:szCs w:val="21"/>
        </w:rPr>
        <w:instrText xml:space="preserve"> INCLUDEPICTURE "/var/folders/v8/8fg43mg56b98fmvv5301b0n00000gn/T/com.microsoft.Word/WebArchiveCopyPasteTempFiles/profileimage.jpg?width=162" \* MERGEFORMATINET </w:instrText>
      </w:r>
      <w:r w:rsidR="004C33C7" w:rsidRPr="00390326">
        <w:rPr>
          <w:sz w:val="21"/>
          <w:szCs w:val="21"/>
        </w:rPr>
        <w:fldChar w:fldCharType="separate"/>
      </w:r>
      <w:r w:rsidR="004C33C7" w:rsidRPr="00390326">
        <w:rPr>
          <w:noProof/>
          <w:sz w:val="21"/>
          <w:szCs w:val="21"/>
        </w:rPr>
        <w:drawing>
          <wp:inline distT="0" distB="0" distL="0" distR="0" wp14:anchorId="280E493E" wp14:editId="58C7F611">
            <wp:extent cx="1575128" cy="1575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52" cy="157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3C7" w:rsidRPr="00390326">
        <w:rPr>
          <w:sz w:val="21"/>
          <w:szCs w:val="21"/>
        </w:rPr>
        <w:fldChar w:fldCharType="end"/>
      </w:r>
    </w:p>
    <w:p w14:paraId="023AFDF1" w14:textId="7DC49132" w:rsidR="007F5894" w:rsidRPr="00390326" w:rsidRDefault="004C33C7" w:rsidP="00390326">
      <w:pPr>
        <w:jc w:val="center"/>
        <w:rPr>
          <w:sz w:val="18"/>
          <w:szCs w:val="18"/>
        </w:rPr>
      </w:pPr>
      <w:r w:rsidRPr="00390326">
        <w:rPr>
          <w:rFonts w:hint="eastAsia"/>
          <w:sz w:val="18"/>
          <w:szCs w:val="18"/>
        </w:rPr>
        <w:t>本文作者</w:t>
      </w:r>
    </w:p>
    <w:bookmarkEnd w:id="1"/>
    <w:p w14:paraId="77DC21A1" w14:textId="2640CA71" w:rsidR="004C33C7" w:rsidRPr="00AC29E9" w:rsidRDefault="00C83B46" w:rsidP="00390326">
      <w:pPr>
        <w:rPr>
          <w:b/>
          <w:bCs/>
          <w:sz w:val="21"/>
          <w:szCs w:val="21"/>
        </w:rPr>
      </w:pPr>
      <w:r w:rsidRPr="00AC29E9">
        <w:rPr>
          <w:rFonts w:hint="eastAsia"/>
          <w:b/>
          <w:bCs/>
          <w:sz w:val="21"/>
          <w:szCs w:val="21"/>
        </w:rPr>
        <w:t>·一句话总结</w:t>
      </w:r>
      <w:r w:rsidR="004C659C" w:rsidRPr="00AC29E9">
        <w:rPr>
          <w:rFonts w:hint="eastAsia"/>
          <w:b/>
          <w:bCs/>
          <w:sz w:val="21"/>
          <w:szCs w:val="21"/>
        </w:rPr>
        <w:t>：互补效应</w:t>
      </w:r>
      <w:r w:rsidR="004C659C" w:rsidRPr="00AC29E9">
        <w:rPr>
          <w:b/>
          <w:bCs/>
          <w:sz w:val="21"/>
          <w:szCs w:val="21"/>
        </w:rPr>
        <w:t>“</w:t>
      </w:r>
      <w:bookmarkStart w:id="2" w:name="OLE_LINK3"/>
      <w:r w:rsidR="004C659C" w:rsidRPr="00AC29E9">
        <w:rPr>
          <w:b/>
          <w:bCs/>
          <w:sz w:val="21"/>
          <w:szCs w:val="21"/>
        </w:rPr>
        <w:t>complementarity effect</w:t>
      </w:r>
      <w:bookmarkEnd w:id="2"/>
      <w:r w:rsidR="004C659C" w:rsidRPr="00AC29E9">
        <w:rPr>
          <w:b/>
          <w:bCs/>
          <w:sz w:val="21"/>
          <w:szCs w:val="21"/>
        </w:rPr>
        <w:t>”</w:t>
      </w:r>
    </w:p>
    <w:p w14:paraId="5EBBBDEE" w14:textId="3C9D31C8" w:rsidR="004C33C7" w:rsidRPr="00390326" w:rsidRDefault="004C33C7" w:rsidP="00390326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="004C659C" w:rsidRPr="00390326">
        <w:rPr>
          <w:rFonts w:hint="eastAsia"/>
          <w:sz w:val="21"/>
          <w:szCs w:val="21"/>
        </w:rPr>
        <w:t>针对一些特定的问题，</w:t>
      </w:r>
      <w:r w:rsidRPr="00390326">
        <w:rPr>
          <w:rFonts w:hint="eastAsia"/>
          <w:sz w:val="21"/>
          <w:szCs w:val="21"/>
        </w:rPr>
        <w:t>普通法院（general</w:t>
      </w:r>
      <w:r w:rsidRPr="00390326">
        <w:rPr>
          <w:sz w:val="21"/>
          <w:szCs w:val="21"/>
        </w:rPr>
        <w:t xml:space="preserve"> </w:t>
      </w:r>
      <w:r w:rsidRPr="00390326">
        <w:rPr>
          <w:rFonts w:hint="eastAsia"/>
          <w:sz w:val="21"/>
          <w:szCs w:val="21"/>
        </w:rPr>
        <w:t>court）</w:t>
      </w:r>
      <w:r w:rsidR="004C659C" w:rsidRPr="00390326">
        <w:rPr>
          <w:rFonts w:hint="eastAsia"/>
          <w:sz w:val="21"/>
          <w:szCs w:val="21"/>
        </w:rPr>
        <w:t>会灵活地适用不同原则，使诉讼当事人在公法领域的损失在私法领域得到补偿。</w:t>
      </w:r>
    </w:p>
    <w:p w14:paraId="5D359039" w14:textId="2ED0E4B2" w:rsidR="006B53AE" w:rsidRPr="00AC29E9" w:rsidRDefault="006B53AE" w:rsidP="00D57FCD">
      <w:pPr>
        <w:ind w:firstLine="420"/>
        <w:rPr>
          <w:b/>
          <w:bCs/>
          <w:sz w:val="21"/>
          <w:szCs w:val="21"/>
        </w:rPr>
      </w:pPr>
      <w:r w:rsidRPr="00AC29E9">
        <w:rPr>
          <w:rFonts w:hint="eastAsia"/>
          <w:b/>
          <w:bCs/>
          <w:sz w:val="21"/>
          <w:szCs w:val="21"/>
        </w:rPr>
        <w:t>·</w:t>
      </w:r>
      <w:r w:rsidR="00ED26B9" w:rsidRPr="00AC29E9">
        <w:rPr>
          <w:rFonts w:hint="eastAsia"/>
          <w:b/>
          <w:bCs/>
          <w:sz w:val="21"/>
          <w:szCs w:val="21"/>
        </w:rPr>
        <w:t>普通法院（general</w:t>
      </w:r>
      <w:r w:rsidR="00ED26B9" w:rsidRPr="00AC29E9">
        <w:rPr>
          <w:b/>
          <w:bCs/>
          <w:sz w:val="21"/>
          <w:szCs w:val="21"/>
        </w:rPr>
        <w:t xml:space="preserve"> </w:t>
      </w:r>
      <w:r w:rsidR="00ED26B9" w:rsidRPr="00AC29E9">
        <w:rPr>
          <w:rFonts w:hint="eastAsia"/>
          <w:b/>
          <w:bCs/>
          <w:sz w:val="21"/>
          <w:szCs w:val="21"/>
        </w:rPr>
        <w:t>court）/</w:t>
      </w:r>
      <w:r w:rsidRPr="00AC29E9">
        <w:rPr>
          <w:rFonts w:hint="eastAsia"/>
          <w:b/>
          <w:bCs/>
          <w:sz w:val="21"/>
          <w:szCs w:val="21"/>
        </w:rPr>
        <w:t>专门法院（specialize</w:t>
      </w:r>
      <w:r w:rsidR="00ED26B9" w:rsidRPr="00AC29E9">
        <w:rPr>
          <w:rFonts w:hint="eastAsia"/>
          <w:b/>
          <w:bCs/>
          <w:sz w:val="21"/>
          <w:szCs w:val="21"/>
        </w:rPr>
        <w:t>d</w:t>
      </w:r>
      <w:r w:rsidRPr="00AC29E9">
        <w:rPr>
          <w:b/>
          <w:bCs/>
          <w:sz w:val="21"/>
          <w:szCs w:val="21"/>
        </w:rPr>
        <w:t xml:space="preserve"> </w:t>
      </w:r>
      <w:r w:rsidRPr="00AC29E9">
        <w:rPr>
          <w:rFonts w:hint="eastAsia"/>
          <w:b/>
          <w:bCs/>
          <w:sz w:val="21"/>
          <w:szCs w:val="21"/>
        </w:rPr>
        <w:t>court）</w:t>
      </w:r>
    </w:p>
    <w:p w14:paraId="66411EB4" w14:textId="5C94D6C7" w:rsidR="00ED26B9" w:rsidRPr="00390326" w:rsidRDefault="00ED26B9" w:rsidP="00390326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专门法院：有限的、排他性的管辖权</w:t>
      </w:r>
    </w:p>
    <w:p w14:paraId="15A05169" w14:textId="2EE71076" w:rsidR="00ED26B9" w:rsidRPr="00390326" w:rsidRDefault="00ED26B9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专业知识、推进法律的快速发展</w:t>
      </w:r>
    </w:p>
    <w:p w14:paraId="425A8974" w14:textId="70B8C72E" w:rsidR="00ED26B9" w:rsidRPr="00390326" w:rsidRDefault="00ED26B9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意识形态化、被利益集团绑架的风险、司法隔离</w:t>
      </w:r>
    </w:p>
    <w:p w14:paraId="5CA7C1F2" w14:textId="77BB03FC" w:rsidR="00ED26B9" w:rsidRPr="00390326" w:rsidRDefault="00ED26B9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普通法院：广泛的管辖权</w:t>
      </w:r>
    </w:p>
    <w:p w14:paraId="263D6915" w14:textId="4ACC3617" w:rsidR="00ED26B9" w:rsidRDefault="00ED26B9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能够保证法律的连贯性</w:t>
      </w:r>
    </w:p>
    <w:p w14:paraId="1743EF98" w14:textId="49AB9AAB" w:rsidR="00AC29E9" w:rsidRPr="00D57FCD" w:rsidRDefault="00D57FCD" w:rsidP="00D57FCD">
      <w:pPr>
        <w:ind w:firstLine="420"/>
        <w:rPr>
          <w:b/>
          <w:bCs/>
          <w:sz w:val="21"/>
          <w:szCs w:val="21"/>
        </w:rPr>
      </w:pPr>
      <w:r w:rsidRPr="00D57FCD">
        <w:rPr>
          <w:rFonts w:hint="eastAsia"/>
          <w:b/>
          <w:bCs/>
          <w:sz w:val="21"/>
          <w:szCs w:val="21"/>
        </w:rPr>
        <w:t>·公法、私法</w:t>
      </w:r>
    </w:p>
    <w:p w14:paraId="388A31D9" w14:textId="4902DA3E" w:rsidR="00DD14C5" w:rsidRDefault="00AC29E9">
      <w:r>
        <w:rPr>
          <w:sz w:val="21"/>
          <w:szCs w:val="21"/>
        </w:rPr>
        <w:tab/>
      </w: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“</w:t>
      </w:r>
      <w:r w:rsidRPr="00AC29E9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公法是以保护国家（公共）利益为目的的法律，私法是以保护私人利益为目的的法律</w:t>
      </w:r>
      <w:r>
        <w:rPr>
          <w:rFonts w:ascii="Helvetica Neue" w:hAnsi="Helvetica Neue" w:hint="eastAsia"/>
          <w:color w:val="333333"/>
          <w:sz w:val="21"/>
          <w:szCs w:val="21"/>
          <w:shd w:val="clear" w:color="auto" w:fill="FFFFFF"/>
        </w:rPr>
        <w:t>”</w:t>
      </w:r>
      <w:r w:rsidRPr="00AC29E9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C29E9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Domitius</w:t>
      </w:r>
      <w:proofErr w:type="spellEnd"/>
      <w:r w:rsidRPr="00AC29E9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C29E9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Ulpianus</w:t>
      </w:r>
      <w:proofErr w:type="spellEnd"/>
    </w:p>
    <w:p w14:paraId="0D7B5970" w14:textId="77777777" w:rsidR="00D57FCD" w:rsidRPr="00D57FCD" w:rsidRDefault="00D57FCD">
      <w:pPr>
        <w:rPr>
          <w:rFonts w:hint="eastAsia"/>
        </w:rPr>
      </w:pPr>
    </w:p>
    <w:p w14:paraId="5E55EA8D" w14:textId="15ADE238" w:rsidR="006B53AE" w:rsidRPr="00AC29E9" w:rsidRDefault="00C83B46">
      <w:pPr>
        <w:rPr>
          <w:b/>
          <w:bCs/>
          <w:sz w:val="21"/>
          <w:szCs w:val="21"/>
        </w:rPr>
      </w:pPr>
      <w:r w:rsidRPr="00AC29E9">
        <w:rPr>
          <w:rFonts w:hint="eastAsia"/>
          <w:b/>
          <w:bCs/>
          <w:sz w:val="21"/>
          <w:szCs w:val="21"/>
        </w:rPr>
        <w:t>·文献综述</w:t>
      </w:r>
    </w:p>
    <w:p w14:paraId="151E5309" w14:textId="69FBBA62" w:rsidR="005973CE" w:rsidRPr="00D57FCD" w:rsidRDefault="005973CE" w:rsidP="00D57FCD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D57FCD">
        <w:rPr>
          <w:rFonts w:hint="eastAsia"/>
          <w:sz w:val="21"/>
          <w:szCs w:val="21"/>
        </w:rPr>
        <w:t>司法连贯性coherence</w:t>
      </w:r>
      <w:r w:rsidRPr="00D57FCD">
        <w:rPr>
          <w:sz w:val="21"/>
          <w:szCs w:val="21"/>
        </w:rPr>
        <w:t xml:space="preserve"> </w:t>
      </w:r>
      <w:r w:rsidRPr="00D57FCD">
        <w:rPr>
          <w:rFonts w:hint="eastAsia"/>
          <w:sz w:val="21"/>
          <w:szCs w:val="21"/>
        </w:rPr>
        <w:t>argument</w:t>
      </w:r>
    </w:p>
    <w:p w14:paraId="0CE5E12A" w14:textId="20D422FF" w:rsidR="00D57FCD" w:rsidRPr="00D57FCD" w:rsidRDefault="00D57FCD" w:rsidP="00D57FCD">
      <w:pPr>
        <w:pStyle w:val="a3"/>
        <w:ind w:left="42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连贯性是法律体系的优点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(Dickson, </w:t>
      </w:r>
      <w:r>
        <w:rPr>
          <w:rFonts w:ascii="Helvetica" w:eastAsiaTheme="minorEastAsia" w:hAnsi="Helvetica" w:cs="Helvetica"/>
          <w:color w:val="0000FF"/>
          <w:sz w:val="20"/>
          <w:szCs w:val="20"/>
        </w:rPr>
        <w:t>2001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; Dworkin, </w:t>
      </w:r>
      <w:r>
        <w:rPr>
          <w:rFonts w:ascii="Helvetica" w:eastAsiaTheme="minorEastAsia" w:hAnsi="Helvetica" w:cs="Helvetica"/>
          <w:color w:val="0000FF"/>
          <w:sz w:val="20"/>
          <w:szCs w:val="20"/>
        </w:rPr>
        <w:t>1986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)</w:t>
      </w:r>
    </w:p>
    <w:p w14:paraId="4839A12C" w14:textId="4429C984" w:rsidR="005973CE" w:rsidRPr="00390326" w:rsidRDefault="005973CE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不同法律领域之间的原则存在一致性</w:t>
      </w:r>
      <w:r w:rsidRPr="00390326">
        <w:rPr>
          <w:rFonts w:ascii="Helvetica" w:eastAsiaTheme="minorEastAsia" w:hAnsi="Helvetica" w:cs="Helvetica"/>
          <w:color w:val="000000"/>
          <w:sz w:val="21"/>
          <w:szCs w:val="21"/>
        </w:rPr>
        <w:t>(</w:t>
      </w:r>
      <w:proofErr w:type="spellStart"/>
      <w:r w:rsidRPr="00390326">
        <w:rPr>
          <w:rFonts w:ascii="Helvetica" w:eastAsiaTheme="minorEastAsia" w:hAnsi="Helvetica" w:cs="Helvetica"/>
          <w:color w:val="000000"/>
          <w:sz w:val="21"/>
          <w:szCs w:val="21"/>
        </w:rPr>
        <w:t>Revesz</w:t>
      </w:r>
      <w:proofErr w:type="spellEnd"/>
      <w:r w:rsidRPr="00390326">
        <w:rPr>
          <w:rFonts w:ascii="Helvetica" w:eastAsiaTheme="minorEastAsia" w:hAnsi="Helvetica" w:cs="Helvetica"/>
          <w:color w:val="000000"/>
          <w:sz w:val="21"/>
          <w:szCs w:val="21"/>
        </w:rPr>
        <w:t xml:space="preserve">, </w:t>
      </w:r>
      <w:r w:rsidRPr="00390326">
        <w:rPr>
          <w:rFonts w:ascii="Helvetica" w:eastAsiaTheme="minorEastAsia" w:hAnsi="Helvetica" w:cs="Helvetica"/>
          <w:color w:val="0000FF"/>
          <w:sz w:val="21"/>
          <w:szCs w:val="21"/>
        </w:rPr>
        <w:t>1990</w:t>
      </w:r>
      <w:r w:rsidRPr="00390326">
        <w:rPr>
          <w:rFonts w:ascii="Helvetica" w:eastAsiaTheme="minorEastAsia" w:hAnsi="Helvetica" w:cs="Helvetica"/>
          <w:color w:val="000000"/>
          <w:sz w:val="21"/>
          <w:szCs w:val="21"/>
        </w:rPr>
        <w:t xml:space="preserve">; Wood, </w:t>
      </w:r>
      <w:r w:rsidRPr="00390326">
        <w:rPr>
          <w:rFonts w:ascii="Helvetica" w:eastAsiaTheme="minorEastAsia" w:hAnsi="Helvetica" w:cs="Helvetica"/>
          <w:color w:val="0000FF"/>
          <w:sz w:val="21"/>
          <w:szCs w:val="21"/>
        </w:rPr>
        <w:t>1997</w:t>
      </w:r>
      <w:r w:rsidRPr="00390326">
        <w:rPr>
          <w:rFonts w:ascii="Helvetica" w:eastAsiaTheme="minorEastAsia" w:hAnsi="Helvetica" w:cs="Helvetica"/>
          <w:color w:val="000000"/>
          <w:sz w:val="21"/>
          <w:szCs w:val="21"/>
        </w:rPr>
        <w:t xml:space="preserve">, </w:t>
      </w:r>
      <w:r w:rsidRPr="00390326">
        <w:rPr>
          <w:rFonts w:ascii="Helvetica" w:eastAsiaTheme="minorEastAsia" w:hAnsi="Helvetica" w:cs="Helvetica"/>
          <w:color w:val="0000FF"/>
          <w:sz w:val="21"/>
          <w:szCs w:val="21"/>
        </w:rPr>
        <w:t>2015</w:t>
      </w:r>
      <w:r w:rsidRPr="00390326">
        <w:rPr>
          <w:rFonts w:ascii="Helvetica" w:eastAsiaTheme="minorEastAsia" w:hAnsi="Helvetica" w:cs="Helvetica"/>
          <w:color w:val="000000"/>
          <w:sz w:val="21"/>
          <w:szCs w:val="21"/>
        </w:rPr>
        <w:t>)</w:t>
      </w:r>
    </w:p>
    <w:p w14:paraId="279E6DC1" w14:textId="7C1D7CBA" w:rsidR="005973CE" w:rsidRPr="00390326" w:rsidRDefault="005973CE" w:rsidP="00DD14C5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="00DD14C5" w:rsidRPr="00390326">
        <w:rPr>
          <w:rFonts w:hint="eastAsia"/>
          <w:sz w:val="21"/>
          <w:szCs w:val="21"/>
        </w:rPr>
        <w:t>普通法院能够更有力地保证司法连贯性</w:t>
      </w:r>
      <w:r w:rsidR="00DD14C5" w:rsidRPr="00390326">
        <w:rPr>
          <w:rFonts w:ascii="Helvetica" w:eastAsiaTheme="minorEastAsia" w:hAnsi="Helvetica" w:cs="Helvetica" w:hint="eastAsia"/>
          <w:color w:val="000000"/>
          <w:sz w:val="21"/>
          <w:szCs w:val="21"/>
        </w:rPr>
        <w:t xml:space="preserve"> (</w:t>
      </w:r>
      <w:r w:rsidR="00DD14C5" w:rsidRPr="00390326">
        <w:rPr>
          <w:rFonts w:ascii="Helvetica" w:eastAsiaTheme="minorEastAsia" w:hAnsi="Helvetica" w:cs="Helvetica"/>
          <w:color w:val="000000"/>
          <w:sz w:val="21"/>
          <w:szCs w:val="21"/>
        </w:rPr>
        <w:t xml:space="preserve">Kramer, </w:t>
      </w:r>
      <w:r w:rsidR="00DD14C5" w:rsidRPr="00390326">
        <w:rPr>
          <w:rFonts w:ascii="Helvetica" w:eastAsiaTheme="minorEastAsia" w:hAnsi="Helvetica" w:cs="Helvetica"/>
          <w:color w:val="0000FF"/>
          <w:sz w:val="21"/>
          <w:szCs w:val="21"/>
        </w:rPr>
        <w:t>2016</w:t>
      </w:r>
      <w:r w:rsidR="00DD14C5" w:rsidRPr="00390326">
        <w:rPr>
          <w:rFonts w:ascii="Helvetica" w:eastAsiaTheme="minorEastAsia" w:hAnsi="Helvetica" w:cs="Helvetica"/>
          <w:color w:val="000000"/>
          <w:sz w:val="21"/>
          <w:szCs w:val="21"/>
        </w:rPr>
        <w:t>)</w:t>
      </w:r>
    </w:p>
    <w:p w14:paraId="2DA2956B" w14:textId="5B1CF8EF" w:rsidR="00DD14C5" w:rsidRPr="00390326" w:rsidRDefault="00DD14C5">
      <w:pPr>
        <w:rPr>
          <w:sz w:val="21"/>
          <w:szCs w:val="21"/>
        </w:rPr>
      </w:pPr>
      <w:r w:rsidRPr="00390326">
        <w:rPr>
          <w:rFonts w:hint="eastAsia"/>
          <w:sz w:val="21"/>
          <w:szCs w:val="21"/>
        </w:rPr>
        <w:t>2</w:t>
      </w:r>
      <w:r w:rsidRPr="00390326">
        <w:rPr>
          <w:sz w:val="21"/>
          <w:szCs w:val="21"/>
        </w:rPr>
        <w:t>.</w:t>
      </w:r>
      <w:r w:rsidRPr="00390326">
        <w:rPr>
          <w:rFonts w:hint="eastAsia"/>
          <w:sz w:val="21"/>
          <w:szCs w:val="21"/>
        </w:rPr>
        <w:t>以色列最高法院</w:t>
      </w:r>
    </w:p>
    <w:p w14:paraId="0186D866" w14:textId="00911022" w:rsidR="00DD14C5" w:rsidRPr="00390326" w:rsidRDefault="00DD14C5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普通法院：最高上诉法院/高等法院（HCJ）</w:t>
      </w:r>
    </w:p>
    <w:p w14:paraId="5824868C" w14:textId="6DBF363E" w:rsidR="00DD14C5" w:rsidRPr="00390326" w:rsidRDefault="00DD14C5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致力于强调法律连贯性（</w:t>
      </w:r>
      <w:r w:rsidR="00F77BC0" w:rsidRPr="00390326">
        <w:rPr>
          <w:rFonts w:hint="eastAsia"/>
          <w:sz w:val="21"/>
          <w:szCs w:val="21"/>
        </w:rPr>
        <w:t>侵权法、个人对国家提起诉讼等法律部门</w:t>
      </w:r>
      <w:r w:rsidRPr="00390326">
        <w:rPr>
          <w:rFonts w:hint="eastAsia"/>
          <w:sz w:val="21"/>
          <w:szCs w:val="21"/>
        </w:rPr>
        <w:t>）</w:t>
      </w:r>
    </w:p>
    <w:p w14:paraId="408F649B" w14:textId="249F45D1" w:rsidR="00F77BC0" w:rsidRPr="00390326" w:rsidRDefault="00F77BC0">
      <w:pPr>
        <w:rPr>
          <w:sz w:val="21"/>
          <w:szCs w:val="21"/>
        </w:rPr>
      </w:pPr>
      <w:r w:rsidRPr="00390326">
        <w:rPr>
          <w:rFonts w:hint="eastAsia"/>
          <w:sz w:val="21"/>
          <w:szCs w:val="21"/>
        </w:rPr>
        <w:t>3</w:t>
      </w:r>
      <w:r w:rsidRPr="00390326">
        <w:rPr>
          <w:sz w:val="21"/>
          <w:szCs w:val="21"/>
        </w:rPr>
        <w:t>.</w:t>
      </w:r>
      <w:r w:rsidRPr="00390326">
        <w:rPr>
          <w:rFonts w:hint="eastAsia"/>
          <w:sz w:val="21"/>
          <w:szCs w:val="21"/>
        </w:rPr>
        <w:t>本文贡献</w:t>
      </w:r>
    </w:p>
    <w:p w14:paraId="57C7AC49" w14:textId="10F5EEA2" w:rsidR="00F77BC0" w:rsidRPr="00390326" w:rsidRDefault="00F77BC0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提出了司法连贯性的反例——complementarity</w:t>
      </w:r>
      <w:r w:rsidRPr="00390326">
        <w:rPr>
          <w:sz w:val="21"/>
          <w:szCs w:val="21"/>
        </w:rPr>
        <w:t xml:space="preserve"> </w:t>
      </w:r>
      <w:r w:rsidRPr="00390326">
        <w:rPr>
          <w:rFonts w:hint="eastAsia"/>
          <w:sz w:val="21"/>
          <w:szCs w:val="21"/>
        </w:rPr>
        <w:t>effect</w:t>
      </w:r>
      <w:r w:rsidRPr="00390326">
        <w:rPr>
          <w:sz w:val="21"/>
          <w:szCs w:val="21"/>
        </w:rPr>
        <w:t xml:space="preserve"> </w:t>
      </w:r>
      <w:r w:rsidRPr="00390326">
        <w:rPr>
          <w:rFonts w:hint="eastAsia"/>
          <w:sz w:val="21"/>
          <w:szCs w:val="21"/>
        </w:rPr>
        <w:t>互补而不是连贯</w:t>
      </w:r>
    </w:p>
    <w:p w14:paraId="07CF7FF4" w14:textId="65C1770A" w:rsidR="00F77BC0" w:rsidRPr="00390326" w:rsidRDefault="00F77BC0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在不同的法律领域（公法/私法），法院采取的原则可能是不一致的</w:t>
      </w:r>
    </w:p>
    <w:p w14:paraId="7BBAA8B4" w14:textId="77777777" w:rsidR="00975CCE" w:rsidRPr="00390326" w:rsidRDefault="00F77BC0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</w:p>
    <w:p w14:paraId="03474D9E" w14:textId="001D3659" w:rsidR="00F77BC0" w:rsidRPr="00390326" w:rsidRDefault="00F77BC0" w:rsidP="00975CCE">
      <w:pPr>
        <w:ind w:firstLine="420"/>
        <w:rPr>
          <w:sz w:val="21"/>
          <w:szCs w:val="21"/>
        </w:rPr>
      </w:pPr>
      <w:r w:rsidRPr="00390326">
        <w:rPr>
          <w:rFonts w:hint="eastAsia"/>
          <w:sz w:val="21"/>
          <w:szCs w:val="21"/>
        </w:rPr>
        <w:t>最高法院通常会</w:t>
      </w:r>
      <w:r w:rsidR="00975CCE" w:rsidRPr="00390326">
        <w:rPr>
          <w:rFonts w:hint="eastAsia"/>
          <w:sz w:val="21"/>
          <w:szCs w:val="21"/>
        </w:rPr>
        <w:t>驳回公法领域的诉讼</w:t>
      </w:r>
    </w:p>
    <w:p w14:paraId="4EA3154E" w14:textId="00903072" w:rsidR="00975CCE" w:rsidRPr="00390326" w:rsidRDefault="00975CCE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法院缺乏实质性的影响力</w:t>
      </w:r>
    </w:p>
    <w:p w14:paraId="369F3512" w14:textId="3972F72A" w:rsidR="00975CCE" w:rsidRPr="00390326" w:rsidRDefault="00975CCE">
      <w:pPr>
        <w:rPr>
          <w:sz w:val="21"/>
          <w:szCs w:val="21"/>
        </w:rPr>
      </w:pPr>
      <w:r w:rsidRPr="00390326">
        <w:rPr>
          <w:sz w:val="21"/>
          <w:szCs w:val="21"/>
        </w:rPr>
        <w:tab/>
      </w:r>
      <w:r w:rsidRPr="00390326">
        <w:rPr>
          <w:rFonts w:hint="eastAsia"/>
          <w:sz w:val="21"/>
          <w:szCs w:val="21"/>
        </w:rPr>
        <w:t>对于这些案件，法院会在私法领域进行补偿</w:t>
      </w:r>
    </w:p>
    <w:p w14:paraId="0A80DFA7" w14:textId="77777777" w:rsidR="00975CCE" w:rsidRPr="00390326" w:rsidRDefault="00975CCE">
      <w:pPr>
        <w:rPr>
          <w:sz w:val="21"/>
          <w:szCs w:val="21"/>
        </w:rPr>
      </w:pPr>
    </w:p>
    <w:p w14:paraId="12A58870" w14:textId="42E70052" w:rsidR="004C659C" w:rsidRPr="00AC29E9" w:rsidRDefault="004C659C">
      <w:pPr>
        <w:rPr>
          <w:b/>
          <w:bCs/>
          <w:sz w:val="21"/>
          <w:szCs w:val="21"/>
        </w:rPr>
      </w:pPr>
      <w:r w:rsidRPr="00AC29E9">
        <w:rPr>
          <w:rFonts w:hint="eastAsia"/>
          <w:b/>
          <w:bCs/>
          <w:sz w:val="21"/>
          <w:szCs w:val="21"/>
        </w:rPr>
        <w:lastRenderedPageBreak/>
        <w:t>·C</w:t>
      </w:r>
      <w:r w:rsidRPr="00AC29E9">
        <w:rPr>
          <w:b/>
          <w:bCs/>
          <w:sz w:val="21"/>
          <w:szCs w:val="21"/>
        </w:rPr>
        <w:t>omplemen</w:t>
      </w:r>
      <w:r w:rsidR="009B1CCF" w:rsidRPr="00AC29E9">
        <w:rPr>
          <w:b/>
          <w:bCs/>
          <w:sz w:val="21"/>
          <w:szCs w:val="21"/>
        </w:rPr>
        <w:t>tarity effect</w:t>
      </w:r>
    </w:p>
    <w:p w14:paraId="3304267A" w14:textId="4F01879E" w:rsidR="00975CCE" w:rsidRPr="00374D63" w:rsidRDefault="00975CCE" w:rsidP="00975CCE">
      <w:pPr>
        <w:pStyle w:val="a3"/>
        <w:numPr>
          <w:ilvl w:val="0"/>
          <w:numId w:val="2"/>
        </w:numPr>
        <w:ind w:firstLineChars="0"/>
        <w:rPr>
          <w:sz w:val="21"/>
          <w:szCs w:val="21"/>
          <w:highlight w:val="yellow"/>
        </w:rPr>
      </w:pPr>
      <w:r w:rsidRPr="00374D63">
        <w:rPr>
          <w:rFonts w:hint="eastAsia"/>
          <w:sz w:val="21"/>
          <w:szCs w:val="21"/>
          <w:highlight w:val="yellow"/>
        </w:rPr>
        <w:t>军事机关侵权</w:t>
      </w:r>
    </w:p>
    <w:p w14:paraId="08BCA6C6" w14:textId="2DA740D0" w:rsidR="00894FD4" w:rsidRDefault="00894FD4" w:rsidP="00894F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·背景：约旦河西岸、加沙地区的巴勒斯坦人长期</w:t>
      </w:r>
      <w:r w:rsidR="00E353F1">
        <w:rPr>
          <w:rFonts w:hint="eastAsia"/>
          <w:sz w:val="21"/>
          <w:szCs w:val="21"/>
        </w:rPr>
        <w:t>受</w:t>
      </w:r>
      <w:r>
        <w:rPr>
          <w:rFonts w:hint="eastAsia"/>
          <w:sz w:val="21"/>
          <w:szCs w:val="21"/>
        </w:rPr>
        <w:t>到军事行动的伤害</w:t>
      </w:r>
    </w:p>
    <w:p w14:paraId="7DD55A5D" w14:textId="3B642367" w:rsidR="00E353F1" w:rsidRDefault="00E353F1" w:rsidP="00894FD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以色列最高法院关于军方侵权的公诉案件通常采取克制的态度</w:t>
      </w:r>
    </w:p>
    <w:p w14:paraId="09138583" w14:textId="046E43E8" w:rsidR="00E353F1" w:rsidRDefault="00E353F1" w:rsidP="00894FD4">
      <w:pPr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政治化、专业性 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(Cohen &amp; Cohen, </w:t>
      </w:r>
      <w:r>
        <w:rPr>
          <w:rFonts w:ascii="Helvetica" w:eastAsiaTheme="minorEastAsia" w:hAnsi="Helvetica" w:cs="Helvetica"/>
          <w:color w:val="0000FF"/>
          <w:sz w:val="20"/>
          <w:szCs w:val="20"/>
        </w:rPr>
        <w:t>2012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, pp. 143–173)</w:t>
      </w:r>
    </w:p>
    <w:p w14:paraId="16A6B2B3" w14:textId="1EC81C9D" w:rsidR="00E353F1" w:rsidRPr="00E353F1" w:rsidRDefault="001C6370" w:rsidP="00894FD4">
      <w:pPr>
        <w:rPr>
          <w:rFonts w:ascii="Helvetica" w:eastAsiaTheme="minorEastAsia" w:hAnsi="Helvetica" w:cs="Helvetica"/>
          <w:color w:val="000000"/>
          <w:sz w:val="21"/>
          <w:szCs w:val="21"/>
        </w:rPr>
      </w:pPr>
      <w:r>
        <w:rPr>
          <w:rFonts w:ascii="Helvetica" w:eastAsiaTheme="minorEastAsia" w:hAnsi="Helvetica" w:cs="Helvetica" w:hint="eastAsia"/>
          <w:color w:val="000000"/>
          <w:sz w:val="21"/>
          <w:szCs w:val="21"/>
        </w:rPr>
        <w:t>·</w:t>
      </w:r>
      <w:r w:rsidR="00E353F1" w:rsidRPr="00E353F1">
        <w:rPr>
          <w:rFonts w:ascii="Helvetica" w:eastAsiaTheme="minorEastAsia" w:hAnsi="Helvetica" w:cs="Helvetica" w:hint="eastAsia"/>
          <w:color w:val="000000"/>
          <w:sz w:val="21"/>
          <w:szCs w:val="21"/>
        </w:rPr>
        <w:t>法院的策略：拒绝采取宪法或行政补救，但乐意批准侵权行为中的赔偿要求</w:t>
      </w:r>
    </w:p>
    <w:p w14:paraId="595B6FB8" w14:textId="6F84AF7D" w:rsidR="00E353F1" w:rsidRDefault="00E353F1" w:rsidP="00E353F1">
      <w:pPr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ab/>
      </w:r>
      <w:r w:rsidRPr="00E353F1"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  <w:t xml:space="preserve">Thus, what it refused to do in its capacity as the HCJ, it did in its capacity as the highest appellate court. </w:t>
      </w:r>
    </w:p>
    <w:p w14:paraId="504D42A0" w14:textId="62E85C58" w:rsidR="00E353F1" w:rsidRDefault="00E353F1" w:rsidP="00E353F1">
      <w:pPr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 w:hint="eastAsia"/>
          <w:color w:val="000000"/>
          <w:sz w:val="20"/>
          <w:szCs w:val="20"/>
        </w:rPr>
        <w:t>公法领域的克制：</w:t>
      </w:r>
    </w:p>
    <w:p w14:paraId="072B8925" w14:textId="568BFB6C" w:rsidR="00E353F1" w:rsidRDefault="00E353F1" w:rsidP="00E353F1">
      <w:pPr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/>
          <w:sz w:val="20"/>
          <w:szCs w:val="20"/>
        </w:rPr>
        <w:tab/>
      </w:r>
      <w:r w:rsidR="00F27BF0">
        <w:rPr>
          <w:rFonts w:ascii="Times New Roman" w:eastAsiaTheme="minorEastAsia" w:hAnsi="Times New Roman" w:cs="Times New Roman" w:hint="eastAsia"/>
          <w:color w:val="000000"/>
          <w:sz w:val="20"/>
          <w:szCs w:val="20"/>
        </w:rPr>
        <w:t>拒绝一系列旨在保护平民的请愿书……</w:t>
      </w:r>
    </w:p>
    <w:p w14:paraId="1CF92ECE" w14:textId="343EA90E" w:rsidR="00E353F1" w:rsidRPr="00E353F1" w:rsidRDefault="00E353F1" w:rsidP="00E353F1">
      <w:pPr>
        <w:rPr>
          <w:rFonts w:ascii="Times New Roman" w:eastAsiaTheme="minorEastAsia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 w:hint="eastAsia"/>
          <w:color w:val="000000"/>
          <w:sz w:val="20"/>
          <w:szCs w:val="20"/>
        </w:rPr>
        <w:t>私法领域的扩张：</w:t>
      </w:r>
    </w:p>
    <w:p w14:paraId="4D693B16" w14:textId="69B69793" w:rsidR="00E353F1" w:rsidRDefault="00F27BF0" w:rsidP="00894FD4">
      <w:pPr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ab/>
      </w:r>
      <w:r>
        <w:rPr>
          <w:rFonts w:ascii="Helvetica" w:eastAsiaTheme="minorEastAsia" w:hAnsi="Helvetica" w:cs="Helvetica"/>
          <w:color w:val="000000"/>
          <w:sz w:val="20"/>
          <w:szCs w:val="20"/>
        </w:rPr>
        <w:tab/>
      </w:r>
      <w:r w:rsidR="001C6370">
        <w:rPr>
          <w:rFonts w:ascii="Helvetica" w:eastAsiaTheme="minorEastAsia" w:hAnsi="Helvetica" w:cs="Helvetica" w:hint="eastAsia"/>
          <w:color w:val="000000"/>
          <w:sz w:val="20"/>
          <w:szCs w:val="20"/>
        </w:rPr>
        <w:t>对军方战斗豁免权的削弱、客观的过失认定标准、减轻相关案件中原告的举证责任</w:t>
      </w:r>
    </w:p>
    <w:p w14:paraId="42F57AB5" w14:textId="10FC96F0" w:rsidR="001C6370" w:rsidRDefault="001C6370" w:rsidP="00894FD4">
      <w:pPr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 w:hint="eastAsia"/>
          <w:color w:val="000000"/>
          <w:sz w:val="20"/>
          <w:szCs w:val="20"/>
        </w:rPr>
        <w:t>·针对侵权行为中的军事案件时，</w:t>
      </w:r>
      <w:r w:rsidR="007A6D82">
        <w:rPr>
          <w:rFonts w:ascii="Helvetica" w:eastAsiaTheme="minorEastAsia" w:hAnsi="Helvetica" w:cs="Helvetica" w:hint="eastAsia"/>
          <w:color w:val="000000"/>
          <w:sz w:val="20"/>
          <w:szCs w:val="20"/>
        </w:rPr>
        <w:t>法院一定程度上采取了不同的原则</w:t>
      </w:r>
    </w:p>
    <w:p w14:paraId="45372358" w14:textId="1067902E" w:rsidR="007A6D82" w:rsidRDefault="007A6D82" w:rsidP="00894FD4">
      <w:pPr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/>
          <w:color w:val="000000"/>
          <w:sz w:val="20"/>
          <w:szCs w:val="20"/>
        </w:rPr>
        <w:tab/>
      </w:r>
      <w:r>
        <w:rPr>
          <w:rFonts w:ascii="Helvetica" w:eastAsiaTheme="minorEastAsia" w:hAnsi="Helvetica" w:cs="Helvetica" w:hint="eastAsia"/>
          <w:color w:val="000000"/>
          <w:sz w:val="20"/>
          <w:szCs w:val="20"/>
        </w:rPr>
        <w:t>法院不愿或不能在公法领域采取行动，推动了它在私法领域的扩张</w:t>
      </w:r>
    </w:p>
    <w:p w14:paraId="14637761" w14:textId="77777777" w:rsidR="007A6D82" w:rsidRPr="001C6370" w:rsidRDefault="007A6D82" w:rsidP="00894FD4">
      <w:pPr>
        <w:rPr>
          <w:rFonts w:ascii="Helvetica" w:eastAsiaTheme="minorEastAsia" w:hAnsi="Helvetica" w:cs="Helvetica"/>
          <w:color w:val="000000"/>
          <w:sz w:val="20"/>
          <w:szCs w:val="20"/>
        </w:rPr>
      </w:pPr>
    </w:p>
    <w:p w14:paraId="0414D580" w14:textId="7012EFFA" w:rsidR="00975CCE" w:rsidRPr="00374D63" w:rsidRDefault="00975CCE" w:rsidP="00975CCE">
      <w:pPr>
        <w:pStyle w:val="a3"/>
        <w:numPr>
          <w:ilvl w:val="0"/>
          <w:numId w:val="2"/>
        </w:numPr>
        <w:ind w:firstLineChars="0"/>
        <w:rPr>
          <w:sz w:val="21"/>
          <w:szCs w:val="21"/>
          <w:highlight w:val="yellow"/>
        </w:rPr>
      </w:pPr>
      <w:r w:rsidRPr="00374D63">
        <w:rPr>
          <w:rFonts w:hint="eastAsia"/>
          <w:sz w:val="21"/>
          <w:szCs w:val="21"/>
          <w:highlight w:val="yellow"/>
        </w:rPr>
        <w:t>种族歧视</w:t>
      </w:r>
    </w:p>
    <w:p w14:paraId="218D3DA9" w14:textId="03B314EC" w:rsidR="007A6D82" w:rsidRDefault="007A6D82" w:rsidP="007A6D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·背景：</w:t>
      </w:r>
      <w:r w:rsidR="00A918BF">
        <w:rPr>
          <w:rFonts w:hint="eastAsia"/>
          <w:sz w:val="21"/>
          <w:szCs w:val="21"/>
        </w:rPr>
        <w:t>阿拉伯人提出的反歧视情愿通常被拒绝</w:t>
      </w:r>
    </w:p>
    <w:p w14:paraId="0836554A" w14:textId="6B5B14F4" w:rsidR="00A918BF" w:rsidRDefault="00A918BF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公法领域的克制：</w:t>
      </w:r>
    </w:p>
    <w:p w14:paraId="203FD093" w14:textId="241DB24A" w:rsidR="00A918BF" w:rsidRDefault="00A918BF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一项政策是否具有歧视性的色彩是一个复杂的问题</w:t>
      </w:r>
    </w:p>
    <w:p w14:paraId="224D7CFA" w14:textId="7AB4D82D" w:rsidR="00A918BF" w:rsidRDefault="00A918BF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在结构性歧视的前提下，司法审查的作用是有限的</w:t>
      </w:r>
    </w:p>
    <w:p w14:paraId="369527F3" w14:textId="523B86FB" w:rsidR="00A918BF" w:rsidRDefault="00A918BF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法院缺少做出相关决策需要的信息</w:t>
      </w:r>
      <w:r>
        <w:rPr>
          <w:sz w:val="21"/>
          <w:szCs w:val="21"/>
        </w:rPr>
        <w:t>”“</w:t>
      </w:r>
      <w:r>
        <w:rPr>
          <w:rFonts w:hint="eastAsia"/>
          <w:sz w:val="21"/>
          <w:szCs w:val="21"/>
        </w:rPr>
        <w:t>这样的审查不是法院的核心功能</w:t>
      </w:r>
      <w:r>
        <w:rPr>
          <w:sz w:val="21"/>
          <w:szCs w:val="21"/>
        </w:rPr>
        <w:t>”</w:t>
      </w:r>
    </w:p>
    <w:p w14:paraId="25C68C04" w14:textId="77777777" w:rsidR="00A8267A" w:rsidRDefault="00A8267A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“</w:t>
      </w:r>
      <w:r>
        <w:rPr>
          <w:rFonts w:hint="eastAsia"/>
          <w:sz w:val="21"/>
          <w:szCs w:val="21"/>
        </w:rPr>
        <w:t>出于维护司法部门生存能力的需要”</w:t>
      </w:r>
    </w:p>
    <w:p w14:paraId="1D8D0202" w14:textId="75B46D00" w:rsidR="00A8267A" w:rsidRDefault="00A8267A" w:rsidP="00A8267A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存在持续性的歧视不构成司法审查的充分理由”</w:t>
      </w:r>
    </w:p>
    <w:p w14:paraId="6F1C8EB5" w14:textId="39CC325F" w:rsidR="00A8267A" w:rsidRDefault="00A8267A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私法领域的扩张：一个案例</w:t>
      </w:r>
    </w:p>
    <w:p w14:paraId="5DA6A5FD" w14:textId="2599C164" w:rsidR="00A8267A" w:rsidRPr="00A8267A" w:rsidRDefault="00A8267A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一个阿拉伯裔的未成年人向司机索赔：赔偿标准？</w:t>
      </w:r>
    </w:p>
    <w:p w14:paraId="4EF2C32F" w14:textId="1C09ECB2" w:rsidR="00A8267A" w:rsidRDefault="00A8267A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当地阿拉伯妇女的平均工资？全体人口的平均收入？</w:t>
      </w:r>
    </w:p>
    <w:p w14:paraId="37AC3D84" w14:textId="3A875DCE" w:rsidR="00A8267A" w:rsidRPr="00A8267A" w:rsidRDefault="00A8267A" w:rsidP="007A6D82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前者</w:t>
      </w:r>
      <w:r w:rsidR="008E527B">
        <w:rPr>
          <w:rFonts w:hint="eastAsia"/>
          <w:sz w:val="21"/>
          <w:szCs w:val="21"/>
        </w:rPr>
        <w:t>与传统的赔偿规则一致，但法院接受了后者，判原告胜诉</w:t>
      </w:r>
    </w:p>
    <w:p w14:paraId="1BABFDB7" w14:textId="68C4CC43" w:rsidR="00A918BF" w:rsidRPr="00A918BF" w:rsidRDefault="00A918BF" w:rsidP="007A6D82">
      <w:pPr>
        <w:rPr>
          <w:sz w:val="21"/>
          <w:szCs w:val="21"/>
        </w:rPr>
      </w:pPr>
    </w:p>
    <w:p w14:paraId="0798E8A0" w14:textId="76267469" w:rsidR="00975CCE" w:rsidRPr="00374D63" w:rsidRDefault="00975CCE" w:rsidP="00975CCE">
      <w:pPr>
        <w:pStyle w:val="a3"/>
        <w:numPr>
          <w:ilvl w:val="0"/>
          <w:numId w:val="2"/>
        </w:numPr>
        <w:ind w:firstLineChars="0"/>
        <w:rPr>
          <w:sz w:val="21"/>
          <w:szCs w:val="21"/>
          <w:highlight w:val="yellow"/>
        </w:rPr>
      </w:pPr>
      <w:r w:rsidRPr="00374D63">
        <w:rPr>
          <w:rFonts w:hint="eastAsia"/>
          <w:sz w:val="21"/>
          <w:szCs w:val="21"/>
          <w:highlight w:val="yellow"/>
        </w:rPr>
        <w:t>言论自由</w:t>
      </w:r>
    </w:p>
    <w:p w14:paraId="3C4CD269" w14:textId="6213AF78" w:rsidR="008E527B" w:rsidRDefault="008E527B" w:rsidP="008E527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·背景：以色列最高法院积极维护言论自由权，但很少干预行政部门的预算</w:t>
      </w:r>
    </w:p>
    <w:p w14:paraId="283F691C" w14:textId="2685380D" w:rsidR="008E527B" w:rsidRDefault="008E527B" w:rsidP="008E527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富人和穷人参与公共生活的能力不平等</w:t>
      </w:r>
    </w:p>
    <w:p w14:paraId="63FDDBFA" w14:textId="0F751C56" w:rsidR="008E527B" w:rsidRDefault="008E527B" w:rsidP="008E527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公法领域的克制：</w:t>
      </w:r>
    </w:p>
    <w:p w14:paraId="1ACCC14C" w14:textId="1EA0C047" w:rsidR="008E527B" w:rsidRDefault="008E527B" w:rsidP="008E527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示威者应该</w:t>
      </w:r>
      <w:r w:rsidR="00A0055A">
        <w:rPr>
          <w:rFonts w:hint="eastAsia"/>
          <w:sz w:val="21"/>
          <w:szCs w:val="21"/>
        </w:rPr>
        <w:t>承担一定的安全费用、拒绝建立大屠杀幸存者纪念中心</w:t>
      </w:r>
    </w:p>
    <w:p w14:paraId="17FD3731" w14:textId="62015804" w:rsidR="00A0055A" w:rsidRDefault="00A0055A" w:rsidP="008E527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接受广播作为言论自由权的重要组成部分：虽然拒绝安装天线损害了公民的权利，但法院没有权力也没有能力要求行政部门强制安装</w:t>
      </w:r>
    </w:p>
    <w:p w14:paraId="6ADAD943" w14:textId="6707E250" w:rsidR="00A0055A" w:rsidRDefault="00A0055A" w:rsidP="008E527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私法领域的扩张：缩小责任范围</w:t>
      </w:r>
    </w:p>
    <w:p w14:paraId="34820F53" w14:textId="07BB9923" w:rsidR="00A0055A" w:rsidRDefault="00A0055A" w:rsidP="008E527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74D63">
        <w:rPr>
          <w:rFonts w:hint="eastAsia"/>
          <w:sz w:val="21"/>
          <w:szCs w:val="21"/>
          <w:highlight w:val="yellow"/>
        </w:rPr>
        <w:t>一位穷人</w:t>
      </w:r>
      <w:r>
        <w:rPr>
          <w:rFonts w:hint="eastAsia"/>
          <w:sz w:val="21"/>
          <w:szCs w:val="21"/>
        </w:rPr>
        <w:t>出版了涉嫌诽谤内阁大臣的书籍，初审法院对被告处以重大赔偿</w:t>
      </w:r>
    </w:p>
    <w:p w14:paraId="42EE9294" w14:textId="57843906" w:rsidR="00A0055A" w:rsidRDefault="00A0055A" w:rsidP="008E527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74D63">
        <w:rPr>
          <w:rFonts w:hint="eastAsia"/>
          <w:sz w:val="21"/>
          <w:szCs w:val="21"/>
        </w:rPr>
        <w:t>大法院在上诉中没有对被告的责任提出异议，但减少了5</w:t>
      </w:r>
      <w:r w:rsidR="00374D63">
        <w:rPr>
          <w:sz w:val="21"/>
          <w:szCs w:val="21"/>
        </w:rPr>
        <w:t>0%</w:t>
      </w:r>
      <w:r w:rsidR="00374D63">
        <w:rPr>
          <w:rFonts w:hint="eastAsia"/>
          <w:sz w:val="21"/>
          <w:szCs w:val="21"/>
        </w:rPr>
        <w:t>的赔偿金额</w:t>
      </w:r>
    </w:p>
    <w:p w14:paraId="3B15077D" w14:textId="1B6DAA0E" w:rsidR="00A0055A" w:rsidRPr="008E527B" w:rsidRDefault="00A0055A" w:rsidP="008E527B">
      <w:pPr>
        <w:rPr>
          <w:sz w:val="21"/>
          <w:szCs w:val="21"/>
        </w:rPr>
      </w:pPr>
    </w:p>
    <w:p w14:paraId="7F5098BC" w14:textId="640D1E09" w:rsidR="009B1CCF" w:rsidRPr="00AC29E9" w:rsidRDefault="00C83B46" w:rsidP="0047370E">
      <w:pPr>
        <w:rPr>
          <w:b/>
          <w:bCs/>
          <w:sz w:val="21"/>
          <w:szCs w:val="21"/>
        </w:rPr>
      </w:pPr>
      <w:r w:rsidRPr="00AC29E9">
        <w:rPr>
          <w:rFonts w:hint="eastAsia"/>
          <w:b/>
          <w:bCs/>
          <w:sz w:val="21"/>
          <w:szCs w:val="21"/>
        </w:rPr>
        <w:t>·</w:t>
      </w:r>
      <w:r w:rsidR="009B1CCF" w:rsidRPr="00AC29E9">
        <w:rPr>
          <w:rFonts w:hint="eastAsia"/>
          <w:b/>
          <w:bCs/>
          <w:sz w:val="21"/>
          <w:szCs w:val="21"/>
        </w:rPr>
        <w:t>结论和未尽的问题</w:t>
      </w:r>
    </w:p>
    <w:p w14:paraId="0DE95919" w14:textId="72A28A80" w:rsidR="00374D63" w:rsidRDefault="00374D63" w:rsidP="00374D63">
      <w:pPr>
        <w:pStyle w:val="a3"/>
        <w:numPr>
          <w:ilvl w:val="0"/>
          <w:numId w:val="3"/>
        </w:numPr>
        <w:ind w:firstLineChars="0"/>
        <w:rPr>
          <w:sz w:val="21"/>
          <w:szCs w:val="21"/>
        </w:rPr>
      </w:pPr>
      <w:r w:rsidRPr="00374D63">
        <w:rPr>
          <w:rFonts w:hint="eastAsia"/>
          <w:sz w:val="21"/>
          <w:szCs w:val="21"/>
        </w:rPr>
        <w:t>互补模式的拓展</w:t>
      </w:r>
    </w:p>
    <w:p w14:paraId="60A847A2" w14:textId="51E70C92" w:rsidR="00374D63" w:rsidRDefault="00374D63" w:rsidP="00374D63">
      <w:pPr>
        <w:ind w:left="360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hint="eastAsia"/>
          <w:sz w:val="21"/>
          <w:szCs w:val="21"/>
        </w:rPr>
        <w:t>其他的法律部门：刑法</w:t>
      </w:r>
      <w:r>
        <w:rPr>
          <w:sz w:val="21"/>
          <w:szCs w:val="21"/>
        </w:rPr>
        <w:t>(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Olson and </w:t>
      </w:r>
      <w:proofErr w:type="spellStart"/>
      <w:r>
        <w:rPr>
          <w:rFonts w:ascii="Helvetica" w:eastAsiaTheme="minorEastAsia" w:hAnsi="Helvetica" w:cs="Helvetica"/>
          <w:color w:val="000000"/>
          <w:sz w:val="20"/>
          <w:szCs w:val="20"/>
        </w:rPr>
        <w:t>Ramker</w:t>
      </w:r>
      <w:proofErr w:type="spellEnd"/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, </w:t>
      </w:r>
      <w:r>
        <w:rPr>
          <w:rFonts w:ascii="Helvetica" w:eastAsiaTheme="minorEastAsia" w:hAnsi="Helvetica" w:cs="Helvetica"/>
          <w:color w:val="0000FF"/>
          <w:sz w:val="20"/>
          <w:szCs w:val="20"/>
        </w:rPr>
        <w:t>2001;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eastAsiaTheme="minorEastAsia" w:hAnsi="Helvetica" w:cs="Helvetica"/>
          <w:color w:val="000000"/>
          <w:sz w:val="20"/>
          <w:szCs w:val="20"/>
        </w:rPr>
        <w:t>Ruback</w:t>
      </w:r>
      <w:proofErr w:type="spellEnd"/>
      <w:r>
        <w:rPr>
          <w:rFonts w:ascii="Helvetica" w:eastAsiaTheme="minorEastAsia" w:hAnsi="Helvetica" w:cs="Helvetica"/>
          <w:color w:val="000000"/>
          <w:sz w:val="20"/>
          <w:szCs w:val="20"/>
        </w:rPr>
        <w:t xml:space="preserve"> et al., </w:t>
      </w:r>
      <w:r>
        <w:rPr>
          <w:rFonts w:ascii="Helvetica" w:eastAsiaTheme="minorEastAsia" w:hAnsi="Helvetica" w:cs="Helvetica"/>
          <w:color w:val="0000FF"/>
          <w:sz w:val="20"/>
          <w:szCs w:val="20"/>
        </w:rPr>
        <w:t>2004</w:t>
      </w:r>
      <w:r>
        <w:rPr>
          <w:rFonts w:ascii="Helvetica" w:eastAsiaTheme="minorEastAsia" w:hAnsi="Helvetica" w:cs="Helvetica"/>
          <w:color w:val="000000"/>
          <w:sz w:val="20"/>
          <w:szCs w:val="20"/>
        </w:rPr>
        <w:t>)</w:t>
      </w:r>
    </w:p>
    <w:p w14:paraId="27DA0B57" w14:textId="295641F7" w:rsidR="00374D63" w:rsidRDefault="00374D63" w:rsidP="00374D63">
      <w:pPr>
        <w:ind w:left="360"/>
        <w:rPr>
          <w:rFonts w:ascii="Helvetica" w:eastAsiaTheme="minorEastAsia" w:hAnsi="Helvetica" w:cs="Helvetica"/>
          <w:color w:val="000000"/>
          <w:sz w:val="20"/>
          <w:szCs w:val="20"/>
        </w:rPr>
      </w:pPr>
      <w:r>
        <w:rPr>
          <w:rFonts w:ascii="Helvetica" w:eastAsiaTheme="minorEastAsia" w:hAnsi="Helvetica" w:cs="Helvetica" w:hint="eastAsia"/>
          <w:color w:val="000000"/>
          <w:sz w:val="20"/>
          <w:szCs w:val="20"/>
        </w:rPr>
        <w:t>监管机构</w:t>
      </w:r>
    </w:p>
    <w:p w14:paraId="6D2D67D6" w14:textId="47A590DB" w:rsidR="00374D63" w:rsidRPr="00374D63" w:rsidRDefault="00374D63" w:rsidP="00374D63">
      <w:pPr>
        <w:pStyle w:val="a3"/>
        <w:numPr>
          <w:ilvl w:val="0"/>
          <w:numId w:val="3"/>
        </w:numPr>
        <w:ind w:firstLineChars="0"/>
        <w:rPr>
          <w:rFonts w:ascii="Helvetica" w:eastAsiaTheme="minorEastAsia" w:hAnsi="Helvetica" w:cs="Helvetica"/>
          <w:color w:val="000000"/>
          <w:sz w:val="20"/>
          <w:szCs w:val="20"/>
        </w:rPr>
      </w:pPr>
      <w:r w:rsidRPr="00374D63">
        <w:rPr>
          <w:rFonts w:ascii="Helvetica" w:eastAsiaTheme="minorEastAsia" w:hAnsi="Helvetica" w:cs="Helvetica" w:hint="eastAsia"/>
          <w:color w:val="000000"/>
          <w:sz w:val="20"/>
          <w:szCs w:val="20"/>
        </w:rPr>
        <w:t>对互补模式的反思</w:t>
      </w:r>
    </w:p>
    <w:p w14:paraId="1FA7BE8D" w14:textId="2ECFC77A" w:rsidR="00A54A12" w:rsidRDefault="00A54A12" w:rsidP="00A54A12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负担的随机和不平等分配</w:t>
      </w:r>
    </w:p>
    <w:p w14:paraId="742457BA" w14:textId="4D7BCCAF" w:rsidR="00A54A12" w:rsidRDefault="00A54A12" w:rsidP="00A54A12">
      <w:pPr>
        <w:pStyle w:val="a3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削弱最高法院作为宪法法院的职能</w:t>
      </w:r>
    </w:p>
    <w:p w14:paraId="21683962" w14:textId="215F9E24" w:rsidR="00A54A12" w:rsidRDefault="00A54A12" w:rsidP="00A54A12">
      <w:pPr>
        <w:rPr>
          <w:sz w:val="21"/>
          <w:szCs w:val="21"/>
        </w:rPr>
      </w:pPr>
    </w:p>
    <w:p w14:paraId="6C429DDF" w14:textId="27ED3C58" w:rsidR="00A54A12" w:rsidRDefault="00A54A12" w:rsidP="00A54A1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法律制度的重要性（普通法院、专门法院）</w:t>
      </w:r>
    </w:p>
    <w:p w14:paraId="11AE7F77" w14:textId="0A78EFD7" w:rsidR="00A54A12" w:rsidRDefault="0061445D" w:rsidP="00A0503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“策略性服从”？</w:t>
      </w:r>
    </w:p>
    <w:sectPr w:rsidR="00A5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055"/>
    <w:multiLevelType w:val="hybridMultilevel"/>
    <w:tmpl w:val="C1708F56"/>
    <w:lvl w:ilvl="0" w:tplc="CE4EFD3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F0A32"/>
    <w:multiLevelType w:val="hybridMultilevel"/>
    <w:tmpl w:val="451A75A8"/>
    <w:lvl w:ilvl="0" w:tplc="E2D0F9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81B8D"/>
    <w:multiLevelType w:val="hybridMultilevel"/>
    <w:tmpl w:val="3F44911C"/>
    <w:lvl w:ilvl="0" w:tplc="26808A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E0442"/>
    <w:multiLevelType w:val="hybridMultilevel"/>
    <w:tmpl w:val="CC3A5006"/>
    <w:lvl w:ilvl="0" w:tplc="40963A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3091883">
    <w:abstractNumId w:val="0"/>
  </w:num>
  <w:num w:numId="2" w16cid:durableId="1224482854">
    <w:abstractNumId w:val="2"/>
  </w:num>
  <w:num w:numId="3" w16cid:durableId="2062122592">
    <w:abstractNumId w:val="1"/>
  </w:num>
  <w:num w:numId="4" w16cid:durableId="2084331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宋体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evw55f1pdp9hess2ave923xfrtdp0ffd5w&quot;&gt;My EndNote Library&lt;record-ids&gt;&lt;item&gt;126&lt;/item&gt;&lt;/record-ids&gt;&lt;/item&gt;&lt;/Libraries&gt;"/>
  </w:docVars>
  <w:rsids>
    <w:rsidRoot w:val="7EAF0972"/>
    <w:rsid w:val="7EAF0972"/>
    <w:rsid w:val="D59DBB2E"/>
    <w:rsid w:val="00007C65"/>
    <w:rsid w:val="001C6370"/>
    <w:rsid w:val="002C6310"/>
    <w:rsid w:val="00374D63"/>
    <w:rsid w:val="00390326"/>
    <w:rsid w:val="003A2D5D"/>
    <w:rsid w:val="0047370E"/>
    <w:rsid w:val="004C33C7"/>
    <w:rsid w:val="004C659C"/>
    <w:rsid w:val="005973CE"/>
    <w:rsid w:val="0061445D"/>
    <w:rsid w:val="006B53AE"/>
    <w:rsid w:val="0076300C"/>
    <w:rsid w:val="007A6D82"/>
    <w:rsid w:val="007F5894"/>
    <w:rsid w:val="00894FD4"/>
    <w:rsid w:val="008E527B"/>
    <w:rsid w:val="00975CCE"/>
    <w:rsid w:val="009B1CCF"/>
    <w:rsid w:val="009E5D35"/>
    <w:rsid w:val="00A0055A"/>
    <w:rsid w:val="00A05031"/>
    <w:rsid w:val="00A54A12"/>
    <w:rsid w:val="00A8267A"/>
    <w:rsid w:val="00A918BF"/>
    <w:rsid w:val="00AC29E9"/>
    <w:rsid w:val="00C83B46"/>
    <w:rsid w:val="00D57FCD"/>
    <w:rsid w:val="00DA7CF4"/>
    <w:rsid w:val="00DC2525"/>
    <w:rsid w:val="00DD14C5"/>
    <w:rsid w:val="00DF475B"/>
    <w:rsid w:val="00E353F1"/>
    <w:rsid w:val="00EA5471"/>
    <w:rsid w:val="00ED26B9"/>
    <w:rsid w:val="00F27BF0"/>
    <w:rsid w:val="00F77BC0"/>
    <w:rsid w:val="00F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205529"/>
  <w15:docId w15:val="{0687A241-2481-624A-8926-B575B0F1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33C7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3A2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7370E"/>
    <w:pPr>
      <w:ind w:firstLineChars="200" w:firstLine="420"/>
    </w:pPr>
  </w:style>
  <w:style w:type="character" w:customStyle="1" w:styleId="10">
    <w:name w:val="标题 1 字符"/>
    <w:basedOn w:val="a0"/>
    <w:link w:val="1"/>
    <w:rsid w:val="003A2D5D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EA5471"/>
    <w:pPr>
      <w:jc w:val="center"/>
    </w:pPr>
  </w:style>
  <w:style w:type="character" w:customStyle="1" w:styleId="EndNoteBibliographyTitle0">
    <w:name w:val="EndNote Bibliography Title 字符"/>
    <w:basedOn w:val="a0"/>
    <w:link w:val="EndNoteBibliographyTitle"/>
    <w:rsid w:val="00EA5471"/>
    <w:rPr>
      <w:rFonts w:ascii="宋体" w:eastAsia="宋体" w:hAnsi="宋体" w:cs="宋体"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rsid w:val="00EA5471"/>
  </w:style>
  <w:style w:type="character" w:customStyle="1" w:styleId="EndNoteBibliography0">
    <w:name w:val="EndNote Bibliography 字符"/>
    <w:basedOn w:val="a0"/>
    <w:link w:val="EndNoteBibliography"/>
    <w:rsid w:val="00EA547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rsid w:val="00EA54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5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1D0C67-1FAE-F444-AFEE-3F1AB04B8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2020012009</dc:creator>
  <cp:lastModifiedBy>kule xin</cp:lastModifiedBy>
  <cp:revision>6</cp:revision>
  <dcterms:created xsi:type="dcterms:W3CDTF">2022-07-22T09:09:00Z</dcterms:created>
  <dcterms:modified xsi:type="dcterms:W3CDTF">2022-07-27T12:59:00Z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D7A0E83D4562EBCCB5F8D9624E518151</vt:lpwstr>
  </property>
</Properties>
</file>