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Media Attention and Deliberation on the Supreme Court</w:t>
      </w:r>
    </w:p>
    <w:p>
      <w:pPr>
        <w:tabs>
          <w:tab w:val="left" w:pos="633"/>
        </w:tabs>
        <w:bidi w:val="0"/>
        <w:jc w:val="center"/>
        <w:rPr>
          <w:rFonts w:cstheme="minorBidi"/>
          <w:b/>
          <w:bCs/>
          <w:kern w:val="2"/>
          <w:sz w:val="20"/>
          <w:szCs w:val="22"/>
          <w:vertAlign w:val="baseline"/>
          <w:lang w:eastAsia="zh-CN" w:bidi="ar-SA"/>
        </w:rPr>
      </w:pPr>
      <w:r>
        <w:rPr>
          <w:rFonts w:cstheme="minorBidi"/>
          <w:b/>
          <w:bCs/>
          <w:kern w:val="2"/>
          <w:sz w:val="20"/>
          <w:szCs w:val="22"/>
          <w:vertAlign w:val="baseline"/>
          <w:lang w:eastAsia="zh-CN" w:bidi="ar-SA"/>
        </w:rPr>
        <w:t>（</w:t>
      </w:r>
      <w:r>
        <w:rPr>
          <w:rFonts w:hint="eastAsia" w:cstheme="minorBidi"/>
          <w:b/>
          <w:bCs/>
          <w:kern w:val="2"/>
          <w:sz w:val="20"/>
          <w:szCs w:val="22"/>
          <w:vertAlign w:val="baseline"/>
          <w:lang w:val="en-US" w:eastAsia="zh-Hans" w:bidi="ar-SA"/>
        </w:rPr>
        <w:t>PRQ</w:t>
      </w:r>
      <w:r>
        <w:rPr>
          <w:rFonts w:cstheme="minorBidi"/>
          <w:b/>
          <w:bCs/>
          <w:kern w:val="2"/>
          <w:sz w:val="20"/>
          <w:szCs w:val="22"/>
          <w:vertAlign w:val="baseline"/>
          <w:lang w:eastAsia="zh-CN" w:bidi="ar-SA"/>
        </w:rPr>
        <w:t>）</w:t>
      </w:r>
    </w:p>
    <w:p>
      <w:pPr>
        <w:tabs>
          <w:tab w:val="left" w:pos="633"/>
        </w:tabs>
        <w:bidi w:val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4"/>
          <w:lang w:eastAsia="zh-CN" w:bidi="ar-SA"/>
        </w:rPr>
        <w:t>·</w:t>
      </w:r>
      <w:r>
        <w:rPr>
          <w:rFonts w:hint="eastAsia" w:ascii="宋体" w:hAnsi="宋体" w:eastAsia="宋体" w:cs="宋体"/>
          <w:b/>
          <w:bCs/>
          <w:kern w:val="2"/>
          <w:sz w:val="21"/>
          <w:szCs w:val="24"/>
          <w:lang w:val="en-US" w:eastAsia="zh-Hans" w:bidi="ar-SA"/>
        </w:rPr>
        <w:t>本文作者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eastAsia="宋体" w:cs="Times New Roman Regular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  <w:t>Alex Badas,</w:t>
      </w:r>
      <w:r>
        <w:rPr>
          <w:rFonts w:hint="default" w:ascii="Times New Roman Regular" w:hAnsi="Times New Roman Regular" w:eastAsia="宋体" w:cs="Times New Roman Regular"/>
          <w:kern w:val="2"/>
          <w:sz w:val="21"/>
          <w:szCs w:val="21"/>
          <w:lang w:val="en-US" w:eastAsia="zh-CN" w:bidi="ar"/>
        </w:rPr>
        <w:t xml:space="preserve"> Department of Political Science, University of Houston, Houston, TX, USA</w:t>
      </w:r>
      <w:r>
        <w:rPr>
          <w:rFonts w:hint="default" w:ascii="Times New Roman Regular" w:hAnsi="Times New Roman Regular" w:eastAsia="宋体" w:cs="Times New Roman Regular"/>
          <w:kern w:val="2"/>
          <w:sz w:val="21"/>
          <w:szCs w:val="21"/>
          <w:lang w:eastAsia="zh-CN" w:bidi="ar"/>
        </w:rPr>
        <w:t xml:space="preserve">.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eastAsia="宋体" w:cs="Times New Roman Regular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  <w:t>Billy Justus</w:t>
      </w:r>
      <w:r>
        <w:rPr>
          <w:rFonts w:hint="default" w:ascii="Times New Roman Regular" w:hAnsi="Times New Roman Regular" w:eastAsia="宋体" w:cs="Times New Roman Regular"/>
          <w:color w:val="auto"/>
          <w:kern w:val="2"/>
          <w:sz w:val="21"/>
          <w:szCs w:val="24"/>
          <w:lang w:eastAsia="zh-CN" w:bidi="ar-SA"/>
        </w:rPr>
        <w:t xml:space="preserve">, </w:t>
      </w:r>
      <w:r>
        <w:rPr>
          <w:rFonts w:hint="default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  <w:t>Department of Political Science, University of Houston, Houston, TX, USA</w:t>
      </w:r>
      <w:r>
        <w:rPr>
          <w:rFonts w:hint="default" w:ascii="Times New Roman Regular" w:hAnsi="Times New Roman Regular" w:eastAsia="宋体" w:cs="Times New Roman Regular"/>
          <w:color w:val="auto"/>
          <w:kern w:val="2"/>
          <w:sz w:val="21"/>
          <w:szCs w:val="24"/>
          <w:lang w:eastAsia="zh-CN" w:bidi="ar-SA"/>
        </w:rPr>
        <w:t xml:space="preserve">.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215515" cy="1778635"/>
            <wp:effectExtent l="0" t="0" r="19685" b="24765"/>
            <wp:docPr id="4" name="图片 4" descr="badas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adasphot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1788160" cy="1788160"/>
            <wp:effectExtent l="0" t="0" r="15240" b="152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本文作者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  <w:bCs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b/>
          <w:bCs/>
          <w:color w:val="auto"/>
          <w:kern w:val="2"/>
          <w:sz w:val="21"/>
          <w:szCs w:val="24"/>
          <w:lang w:eastAsia="zh-Hans" w:bidi="ar-SA"/>
        </w:rPr>
        <w:t>·</w:t>
      </w:r>
      <w:r>
        <w:rPr>
          <w:rFonts w:hint="eastAsia" w:ascii="宋体" w:hAnsi="宋体" w:eastAsia="宋体" w:cs="宋体"/>
          <w:b/>
          <w:bCs/>
          <w:color w:val="auto"/>
          <w:kern w:val="2"/>
          <w:sz w:val="21"/>
          <w:szCs w:val="24"/>
          <w:lang w:val="en-US" w:eastAsia="zh-Hans" w:bidi="ar-SA"/>
        </w:rPr>
        <w:t>一句话总结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eastAsia="zh-Hans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美国最高法院会采取策略性行为处理争议性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eastAsia="zh-Hans" w:bidi="ar-SA"/>
        </w:rPr>
        <w:t>（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媒体关注度高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eastAsia="zh-Hans" w:bidi="ar-SA"/>
        </w:rPr>
        <w:t>）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的案件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eastAsia="zh-Hans" w:bidi="ar-SA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媒体关注程度高的案件会经历更长时间的争论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媒体关注程度高的案件更有可能会经历再次的辩论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媒体关注程度高的案件会有更多的意见草案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媒体关注程度高的案件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eastAsia="zh-Hans" w:bidi="ar-SA"/>
        </w:rPr>
        <w:t xml:space="preserve"> 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在判决书中会涉及到更多的倾向性的语言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eastAsia="zh-Hans" w:bidi="ar-SA"/>
        </w:rPr>
        <w:t>（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认知机制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eastAsia="zh-Hans" w:bidi="ar-SA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b/>
          <w:bCs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b/>
          <w:bCs/>
          <w:color w:val="auto"/>
          <w:kern w:val="2"/>
          <w:sz w:val="21"/>
          <w:szCs w:val="24"/>
          <w:lang w:eastAsia="zh-Hans" w:bidi="ar-SA"/>
        </w:rPr>
        <w:t>·</w:t>
      </w:r>
      <w:r>
        <w:rPr>
          <w:rFonts w:hint="eastAsia" w:ascii="宋体" w:hAnsi="宋体" w:eastAsia="宋体" w:cs="宋体"/>
          <w:b/>
          <w:bCs/>
          <w:color w:val="auto"/>
          <w:kern w:val="2"/>
          <w:sz w:val="21"/>
          <w:szCs w:val="24"/>
          <w:lang w:val="en-US" w:eastAsia="zh-Hans" w:bidi="ar-SA"/>
        </w:rPr>
        <w:t>文献综述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策略模式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“合法性”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eastAsia="zh-Hans" w:bidi="ar-SA"/>
        </w:rPr>
        <w:t>：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公众对公共机构的态度和行为</w:t>
      </w:r>
      <w:r>
        <w:rPr>
          <w:rFonts w:hint="default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  <w:t>(Gibson and Nelson, 2014)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最高法院有动力去维护自身在公众眼中的地位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eastAsia="zh-Hans" w:bidi="ar-SA"/>
        </w:rPr>
        <w:t>，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从而获得对判决的支持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  <w:t>(Caldeira 1986; Caldeira and Gibson 1992)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法院寻求公众支持的方式可以是积极的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eastAsia="zh-Hans" w:bidi="ar-SA"/>
        </w:rPr>
        <w:t>，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也可以是消极的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宋体" w:hAnsi="宋体" w:cs="宋体"/>
          <w:color w:val="auto"/>
          <w:kern w:val="2"/>
          <w:sz w:val="21"/>
          <w:szCs w:val="24"/>
          <w:lang w:eastAsia="zh-Hans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演讲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eastAsia="zh-Hans" w:bidi="ar-SA"/>
        </w:rPr>
        <w:t>、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出书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判决书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复杂的语言会降低公众对判决的接受度</w:t>
      </w:r>
      <w:r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  <w:t>(Hansford and Coe 2019)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当案件受到广泛的关注时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eastAsia="zh-Hans" w:bidi="ar-SA"/>
        </w:rPr>
        <w:t>，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法官会用简洁的语言写作判决书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  <w:t>(Black et al., 2016b)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和媒体进行互动是法院产生影响的重要途径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  <w:t>(Schmidt 2013; Krewson 2019a; Glennon and Strother 2019)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媒体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eastAsia="zh-Hans" w:bidi="ar-SA"/>
        </w:rPr>
        <w:t xml:space="preserve"> 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watchdog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媒体在美国政治中发挥重要的作用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eastAsia="zh-Hans" w:bidi="ar-SA"/>
        </w:rPr>
        <w:t>，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政治行为者会通过策略性的行为回应媒体的报道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  <w:t>(Clinton and Enamorado 2014)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大多数美国人通过新闻媒体获得法院相关的信息</w:t>
      </w:r>
      <w:r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  <w:t>(Strother 2017; Hughes 2022)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媒体能很大程度上影响公众对法院的看法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  <w:t>(Nelson, Clawson and Oxley 1997; Baird and Amy, 2006; Hitt and Searles 2018)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媒体会通过自己的方式</w:t>
      </w:r>
      <w:r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Hans" w:bidi="ar-SA"/>
        </w:rPr>
        <w:t>framing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对法院的报道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eastAsia="zh-Hans" w:bidi="ar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经济动力等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eastAsia="zh-Hans" w:bidi="ar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eastAsia="zh-Hans" w:bidi="ar"/>
        </w:rPr>
        <w:t>·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Hans" w:bidi="ar"/>
        </w:rPr>
        <w:t>本文的假设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法院vs媒体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法院可能会通过策略性的行为，限制媒体报道的自由裁量权；更加审慎地发表自己的意见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这可能体现在：做出判决需要的时间、判决投入的精力、判决书的措辞等等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eastAsia="zh-Hans" w:bidi="ar"/>
        </w:rPr>
        <w:t>·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Hans" w:bidi="ar"/>
        </w:rPr>
        <w:t>实证检验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eastAsia="zh-Hans" w:bidi="ar"/>
        </w:rPr>
        <w:t>：4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Hans" w:bidi="ar"/>
        </w:rPr>
        <w:t>组模型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eastAsia="zh-Hans" w:bidi="ar"/>
        </w:rPr>
        <w:t>*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概念化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Hans" w:bidi="ar-SA"/>
        </w:rPr>
        <w:t>Deliberation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1.从口头辩论结束到法院最终发表意见需要的时间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2.法院是否决定对一个案件进行重新的辩论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3.法院在发表最终意见之前的意见草案数量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4.判决书的语言多大程度上涉及到“认知机制”（试图解释或证明一个结果）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*本文的主要控制变量：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法院的工作量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eastAsia="zh-Hans" w:bidi="ar-SA"/>
        </w:rPr>
        <w:t>：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听取辩论后剩余的期限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eastAsia="zh-Hans" w:bidi="ar-SA"/>
        </w:rPr>
        <w:t>，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法院同时审理的案件数量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案件的复杂程度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eastAsia="zh-Hans" w:bidi="ar-SA"/>
        </w:rPr>
        <w:t>：</w:t>
      </w:r>
      <w:r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  <w:t>Goelzhauser, Kassow and Rice (2021)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宋体" w:hAnsi="宋体" w:eastAsia="宋体" w:cs="宋体"/>
          <w:color w:val="auto"/>
          <w:kern w:val="2"/>
          <w:sz w:val="21"/>
          <w:szCs w:val="24"/>
          <w:lang w:eastAsia="zh-Hans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法院是否最终宣布违宪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eastAsia="zh-Hans" w:bidi="ar-SA"/>
        </w:rPr>
        <w:t>、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是否改变了判例</w:t>
      </w:r>
      <w:r>
        <w:rPr>
          <w:rFonts w:hint="default" w:ascii="宋体" w:hAnsi="宋体" w:cs="宋体"/>
          <w:color w:val="auto"/>
          <w:kern w:val="2"/>
          <w:sz w:val="21"/>
          <w:szCs w:val="24"/>
          <w:lang w:eastAsia="zh-Hans" w:bidi="ar-SA"/>
        </w:rPr>
        <w:t>、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最高法院和下级法院的分歧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法院的意识形态分歧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eastAsia="zh-Hans" w:bidi="ar-SA"/>
        </w:rPr>
        <w:t>：</w:t>
      </w:r>
      <w:r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  <w:t>Martin and Kevin (2002)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  <w:t>Issue Fixed-Effect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CN" w:bidi="ar-SA"/>
        </w:rPr>
        <w:t>s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eastAsia="zh-CN" w:bidi="ar-SA"/>
        </w:rPr>
        <w:t>：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案件涉及的法律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eastAsia="zh-Hans" w:bidi="ar-SA"/>
        </w:rPr>
        <w:t>/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是否推翻下级法院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eastAsia="zh-Hans" w:bidi="ar-SA"/>
        </w:rPr>
        <w:t>/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起草意见的法官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eastAsia="zh-Hans" w:bidi="ar-SA"/>
        </w:rPr>
        <w:t>/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任期动态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color w:val="auto"/>
          <w:kern w:val="2"/>
          <w:sz w:val="21"/>
          <w:szCs w:val="24"/>
          <w:lang w:val="en-US" w:eastAsia="zh-Hans" w:bidi="ar-SA"/>
        </w:rPr>
        <w:t>一</w:t>
      </w:r>
      <w:r>
        <w:rPr>
          <w:rFonts w:hint="eastAsia" w:ascii="宋体" w:hAnsi="宋体" w:eastAsia="宋体" w:cs="宋体"/>
          <w:b/>
          <w:bCs/>
          <w:color w:val="auto"/>
          <w:kern w:val="2"/>
          <w:sz w:val="21"/>
          <w:szCs w:val="24"/>
          <w:lang w:eastAsia="zh-Hans" w:bidi="ar-SA"/>
        </w:rPr>
        <w:t>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Hans" w:bidi="ar"/>
        </w:rPr>
        <w:t>法院发表意见需要的时间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自变量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eastAsia="zh-Hans" w:bidi="ar-SA"/>
        </w:rPr>
        <w:t>：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在法院进行辩论之前</w:t>
      </w:r>
      <w:r>
        <w:rPr>
          <w:rFonts w:hint="default" w:ascii="宋体" w:hAnsi="宋体" w:cs="宋体"/>
          <w:color w:val="auto"/>
          <w:kern w:val="2"/>
          <w:sz w:val="21"/>
          <w:szCs w:val="24"/>
          <w:lang w:eastAsia="zh-Hans" w:bidi="ar-SA"/>
        </w:rPr>
        <w:t>，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一个案件受到媒体的关注程度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  <w:t>Clark, Lax and Rice (2015)</w:t>
      </w:r>
      <w:r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  <w:t>1995-2008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因变量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eastAsia="zh-Hans" w:bidi="ar-SA"/>
        </w:rPr>
        <w:t>：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从口头辩论到法院最终发表意见经历的时间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  <w:t>Supreme Court Database (Spaeth et al. 2018)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模型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eastAsia="zh-Hans" w:bidi="ar-SA"/>
        </w:rPr>
        <w:t>：</w:t>
      </w:r>
      <w:r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  <w:t>Cox比例风险模型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674370</wp:posOffset>
                </wp:positionH>
                <wp:positionV relativeFrom="paragraph">
                  <wp:posOffset>327025</wp:posOffset>
                </wp:positionV>
                <wp:extent cx="3862705" cy="102235"/>
                <wp:effectExtent l="6350" t="6350" r="17145" b="184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4590" y="6075045"/>
                          <a:ext cx="3862705" cy="1022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1pt;margin-top:25.75pt;height:8.05pt;width:304.15pt;z-index:251659264;mso-width-relative:page;mso-height-relative:page;" filled="f" stroked="t" coordsize="21600,21600" o:gfxdata="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h9aWIdkAAAAIAQAADwAAAAAAAAABACAAAAA4AAAAZHJzL2Rv&#10;d25yZXYueG1sUEsBAhQAFAAAAAgAh07iQGxyP1ZcAgAAnAQAAA4AAAAAAAAAAQAgAAAAPgEAAGRy&#10;cy9lMm9Eb2MueG1sUEsFBgAAAAAGAAYAWQEAAAwGAAAAAA==&#10;">
                <v:fill on="f" focussize="0,0"/>
                <v:stroke weight="1pt" color="#C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3966210" cy="1924050"/>
            <wp:effectExtent l="0" t="0" r="2159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center"/>
        <w:rPr>
          <w:rFonts w:hint="eastAsia" w:ascii="宋体" w:hAnsi="宋体" w:eastAsia="宋体" w:cs="宋体"/>
        </w:rPr>
      </w:pPr>
      <w:r>
        <w:drawing>
          <wp:inline distT="0" distB="0" distL="114300" distR="114300">
            <wp:extent cx="3448050" cy="1960880"/>
            <wp:effectExtent l="0" t="0" r="6350" b="203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55" w:leftChars="0" w:right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Hans" w:bidi="ar"/>
        </w:rPr>
        <w:t>法院是否决定对案件进行重新辩论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55" w:leftChars="0" w:right="0" w:rightChars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自变量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eastAsia="zh-Hans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媒体关注程度</w:t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  <w:t>Clark, Lax and Rice (2015)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55" w:leftChars="0" w:right="0" w:right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因变量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eastAsia="zh-Hans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是否进行重新辩论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55" w:leftChars="0" w:right="0" w:rightChars="0"/>
        <w:jc w:val="left"/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模型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eastAsia="zh-Hans" w:bidi="ar"/>
        </w:rPr>
        <w:t>：</w:t>
      </w:r>
      <w:r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Hans" w:bidi="ar-SA"/>
        </w:rPr>
        <w:t>Random Effect Logistic Model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55" w:leftChars="0" w:right="0" w:rightChars="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446145" cy="2314575"/>
            <wp:effectExtent l="0" t="0" r="8255" b="222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b="23117"/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55" w:leftChars="0" w:right="0" w:righ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Hans" w:bidi="ar"/>
        </w:rPr>
        <w:t>三、草案数量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55" w:leftChars="0" w:right="0" w:rightChars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自变量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eastAsia="zh-Hans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媒体关注程度</w:t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  <w:t>Clark, Lax and Rice (2015)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55" w:leftChars="0" w:right="0" w:right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因变量</w:t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eastAsia="zh-Hans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草案数量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55" w:leftChars="0" w:right="0" w:rightChars="0" w:firstLine="420" w:firstLineChars="0"/>
        <w:jc w:val="left"/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  <w:t>Supreme Court Opinion Writing Database</w:t>
      </w:r>
      <w:r>
        <w:rPr>
          <w:rFonts w:hint="default" w:ascii="Times New Roman Regular" w:hAnsi="Times New Roman Regular" w:eastAsia="宋体" w:cs="Times New Roman Regular"/>
          <w:color w:val="auto"/>
          <w:kern w:val="2"/>
          <w:sz w:val="21"/>
          <w:szCs w:val="24"/>
          <w:lang w:eastAsia="zh-CN" w:bidi="ar-SA"/>
        </w:rPr>
        <w:t xml:space="preserve"> </w:t>
      </w:r>
      <w:r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  <w:t xml:space="preserve"> (Maltzman and Wahlbeck 1996)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55" w:leftChars="0" w:right="0" w:rightChars="0" w:firstLine="420" w:firstLineChars="0"/>
        <w:jc w:val="left"/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2"/>
          <w:sz w:val="21"/>
          <w:szCs w:val="24"/>
          <w:lang w:eastAsia="zh-CN" w:bidi="ar-SA"/>
        </w:rPr>
        <w:t>1969-1985</w:t>
      </w:r>
      <w:r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Hans" w:bidi="ar-SA"/>
        </w:rPr>
        <w:t>年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55" w:leftChars="0" w:right="0" w:right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模型</w:t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eastAsia="zh-Hans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泊松回归模型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55" w:leftChars="0" w:right="0" w:rightChars="0"/>
        <w:jc w:val="center"/>
      </w:pPr>
      <w:r>
        <w:drawing>
          <wp:inline distT="0" distB="0" distL="114300" distR="114300">
            <wp:extent cx="3996690" cy="2912110"/>
            <wp:effectExtent l="0" t="0" r="16510" b="889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b="18970"/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55" w:leftChars="0" w:right="0" w:righ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Hans" w:bidi="ar"/>
        </w:rPr>
        <w:t>四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0"/>
          <w:szCs w:val="20"/>
          <w:lang w:eastAsia="zh-Hans" w:bidi="ar"/>
        </w:rPr>
        <w:t>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Hans" w:bidi="ar"/>
        </w:rPr>
        <w:t>判决书的内容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55" w:leftChars="0" w:right="0" w:rightChars="0"/>
        <w:jc w:val="left"/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自变量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eastAsia="zh-Hans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媒体关注程度</w:t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CN" w:bidi="ar-SA"/>
        </w:rPr>
        <w:t>Clark, Lax and Rice (2015)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55" w:leftChars="0" w:right="0" w:rightChars="0"/>
        <w:jc w:val="left"/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Hans" w:bidi="ar-SA"/>
        </w:rPr>
        <w:t>因变量</w:t>
      </w:r>
      <w:r>
        <w:rPr>
          <w:rFonts w:hint="default" w:ascii="Times New Roman Regular" w:hAnsi="Times New Roman Regular" w:eastAsia="宋体" w:cs="Times New Roman Regular"/>
          <w:color w:val="auto"/>
          <w:kern w:val="2"/>
          <w:sz w:val="21"/>
          <w:szCs w:val="24"/>
          <w:lang w:eastAsia="zh-Hans" w:bidi="ar-SA"/>
        </w:rPr>
        <w:t>：</w:t>
      </w:r>
      <w:r>
        <w:rPr>
          <w:rFonts w:hint="eastAsia" w:ascii="Times New Roman Regular" w:hAnsi="Times New Roman Regular" w:eastAsia="宋体" w:cs="Times New Roman Regular"/>
          <w:color w:val="auto"/>
          <w:kern w:val="2"/>
          <w:sz w:val="21"/>
          <w:szCs w:val="24"/>
          <w:lang w:val="en-US" w:eastAsia="zh-Hans" w:bidi="ar-SA"/>
        </w:rPr>
        <w:t>涉及到“认知机制”的词语占判决书全文的百分比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55" w:leftChars="0" w:right="0" w:rightChars="0" w:firstLine="420" w:firstLineChars="0"/>
        <w:jc w:val="left"/>
        <w:rPr>
          <w:rFonts w:hint="default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highlight w:val="yellow"/>
          <w:lang w:val="en-US" w:eastAsia="zh-CN" w:bidi="ar-SA"/>
        </w:rPr>
        <w:t>Cognitive</w:t>
      </w:r>
      <w:bookmarkStart w:id="0" w:name="_GoBack"/>
      <w:bookmarkEnd w:id="0"/>
      <w:r>
        <w:rPr>
          <w:rFonts w:hint="default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highlight w:val="yellow"/>
          <w:lang w:val="en-US" w:eastAsia="zh-CN" w:bidi="ar-SA"/>
        </w:rPr>
        <w:t xml:space="preserve"> mechanism</w:t>
      </w:r>
      <w:r>
        <w:rPr>
          <w:rFonts w:hint="default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lang w:val="en-US" w:eastAsia="zh-CN" w:bidi="ar-SA"/>
        </w:rPr>
        <w:t xml:space="preserve">s are words that associate to cognitive processes and are associated </w:t>
      </w:r>
      <w:r>
        <w:rPr>
          <w:rFonts w:hint="default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lang w:eastAsia="zh-CN" w:bidi="ar-SA"/>
        </w:rPr>
        <w:tab/>
      </w:r>
      <w:r>
        <w:rPr>
          <w:rFonts w:hint="default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lang w:val="en-US" w:eastAsia="zh-CN" w:bidi="ar-SA"/>
        </w:rPr>
        <w:t>with</w:t>
      </w:r>
      <w:r>
        <w:rPr>
          <w:rFonts w:hint="default" w:ascii="Times New Roman Italic" w:hAnsi="Times New Roman Italic" w:eastAsia="宋体" w:cs="Times New Roman Italic"/>
          <w:b w:val="0"/>
          <w:bCs w:val="0"/>
          <w:i/>
          <w:iCs/>
          <w:color w:val="auto"/>
          <w:kern w:val="2"/>
          <w:sz w:val="21"/>
          <w:szCs w:val="24"/>
          <w:u w:val="single"/>
          <w:lang w:val="en-US" w:eastAsia="zh-CN" w:bidi="ar-SA"/>
        </w:rPr>
        <w:t xml:space="preserve"> rational argumentation, logic reasoning, causal thinking, certainty, and clear </w:t>
      </w:r>
      <w:r>
        <w:rPr>
          <w:rFonts w:hint="default" w:ascii="Times New Roman Italic" w:hAnsi="Times New Roman Italic" w:eastAsia="宋体" w:cs="Times New Roman Italic"/>
          <w:b w:val="0"/>
          <w:bCs w:val="0"/>
          <w:i/>
          <w:iCs/>
          <w:color w:val="auto"/>
          <w:kern w:val="2"/>
          <w:sz w:val="21"/>
          <w:szCs w:val="24"/>
          <w:u w:val="none"/>
          <w:lang w:eastAsia="zh-CN" w:bidi="ar-SA"/>
        </w:rPr>
        <w:tab/>
      </w:r>
      <w:r>
        <w:rPr>
          <w:rFonts w:hint="default" w:ascii="Times New Roman Italic" w:hAnsi="Times New Roman Italic" w:eastAsia="宋体" w:cs="Times New Roman Italic"/>
          <w:b w:val="0"/>
          <w:bCs w:val="0"/>
          <w:i/>
          <w:iCs/>
          <w:color w:val="auto"/>
          <w:kern w:val="2"/>
          <w:sz w:val="21"/>
          <w:szCs w:val="24"/>
          <w:u w:val="none"/>
          <w:lang w:eastAsia="zh-CN" w:bidi="ar-SA"/>
        </w:rPr>
        <w:tab/>
      </w:r>
      <w:r>
        <w:rPr>
          <w:rFonts w:hint="default" w:ascii="Times New Roman Italic" w:hAnsi="Times New Roman Italic" w:eastAsia="宋体" w:cs="Times New Roman Italic"/>
          <w:b w:val="0"/>
          <w:bCs w:val="0"/>
          <w:i/>
          <w:iCs/>
          <w:color w:val="auto"/>
          <w:kern w:val="2"/>
          <w:sz w:val="21"/>
          <w:szCs w:val="24"/>
          <w:u w:val="none"/>
          <w:lang w:eastAsia="zh-CN" w:bidi="ar-SA"/>
        </w:rPr>
        <w:tab/>
      </w:r>
      <w:r>
        <w:rPr>
          <w:rFonts w:hint="default" w:ascii="Times New Roman Italic" w:hAnsi="Times New Roman Italic" w:eastAsia="宋体" w:cs="Times New Roman Italic"/>
          <w:b w:val="0"/>
          <w:bCs w:val="0"/>
          <w:i/>
          <w:iCs/>
          <w:color w:val="auto"/>
          <w:kern w:val="2"/>
          <w:sz w:val="21"/>
          <w:szCs w:val="24"/>
          <w:u w:val="single"/>
          <w:lang w:val="en-US" w:eastAsia="zh-CN" w:bidi="ar-SA"/>
        </w:rPr>
        <w:t>presentation of arguments</w:t>
      </w:r>
      <w:r>
        <w:rPr>
          <w:rFonts w:hint="default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lang w:eastAsia="zh-CN" w:bidi="ar-SA"/>
        </w:rPr>
        <w:t xml:space="preserve">.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lang w:val="en-US" w:eastAsia="zh-Hans" w:bidi="ar-S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lang w:val="en-US" w:eastAsia="zh-Hans" w:bidi="ar-SA"/>
        </w:rPr>
        <w:t>LIWC</w:t>
      </w:r>
      <w:r>
        <w:rPr>
          <w:rFonts w:hint="default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lang w:eastAsia="zh-Hans" w:bidi="ar-SA"/>
        </w:rPr>
        <w:t xml:space="preserve"> (</w:t>
      </w:r>
      <w:r>
        <w:rPr>
          <w:rFonts w:hint="eastAsia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lang w:val="en-US" w:eastAsia="zh-Hans" w:bidi="ar-SA"/>
        </w:rPr>
        <w:t>Linguistic</w:t>
      </w:r>
      <w:r>
        <w:rPr>
          <w:rFonts w:hint="default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lang w:eastAsia="zh-Hans" w:bidi="ar-SA"/>
        </w:rPr>
        <w:t xml:space="preserve"> </w:t>
      </w:r>
      <w:r>
        <w:rPr>
          <w:rFonts w:hint="eastAsia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lang w:val="en-US" w:eastAsia="zh-Hans" w:bidi="ar-SA"/>
        </w:rPr>
        <w:t>Inquiry</w:t>
      </w:r>
      <w:r>
        <w:rPr>
          <w:rFonts w:hint="default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lang w:eastAsia="zh-Hans" w:bidi="ar-SA"/>
        </w:rPr>
        <w:t xml:space="preserve"> </w:t>
      </w:r>
      <w:r>
        <w:rPr>
          <w:rFonts w:hint="eastAsia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lang w:val="en-US" w:eastAsia="zh-Hans" w:bidi="ar-SA"/>
        </w:rPr>
        <w:t>and</w:t>
      </w:r>
      <w:r>
        <w:rPr>
          <w:rFonts w:hint="default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lang w:eastAsia="zh-Hans" w:bidi="ar-SA"/>
        </w:rPr>
        <w:t xml:space="preserve"> </w:t>
      </w:r>
      <w:r>
        <w:rPr>
          <w:rFonts w:hint="eastAsia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lang w:val="en-US" w:eastAsia="zh-Hans" w:bidi="ar-SA"/>
        </w:rPr>
        <w:t>word</w:t>
      </w:r>
      <w:r>
        <w:rPr>
          <w:rFonts w:hint="default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lang w:eastAsia="zh-Hans" w:bidi="ar-SA"/>
        </w:rPr>
        <w:t xml:space="preserve"> </w:t>
      </w:r>
      <w:r>
        <w:rPr>
          <w:rFonts w:hint="eastAsia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lang w:val="en-US" w:eastAsia="zh-Hans" w:bidi="ar-SA"/>
        </w:rPr>
        <w:t>coun</w:t>
      </w:r>
      <w:r>
        <w:rPr>
          <w:rFonts w:hint="default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lang w:eastAsia="zh-Hans" w:bidi="ar-SA"/>
        </w:rPr>
        <w:t xml:space="preserve">) software, </w:t>
      </w:r>
      <w:r>
        <w:rPr>
          <w:rFonts w:hint="eastAsia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lang w:val="en-US" w:eastAsia="zh-CN" w:bidi="ar-SA"/>
        </w:rPr>
        <w:t xml:space="preserve">730 keywords such as </w:t>
      </w:r>
      <w:r>
        <w:rPr>
          <w:rFonts w:hint="eastAsia" w:ascii="Times New Roman Italic" w:hAnsi="Times New Roman Italic" w:eastAsia="宋体" w:cs="Times New Roman Italic"/>
          <w:b/>
          <w:bCs/>
          <w:i/>
          <w:iCs/>
          <w:color w:val="auto"/>
          <w:kern w:val="2"/>
          <w:sz w:val="21"/>
          <w:szCs w:val="24"/>
          <w:lang w:val="en-US" w:eastAsia="zh-CN" w:bidi="ar-SA"/>
        </w:rPr>
        <w:t>cause</w:t>
      </w:r>
      <w:r>
        <w:rPr>
          <w:rFonts w:hint="eastAsia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eastAsia" w:ascii="Times New Roman Italic" w:hAnsi="Times New Roman Italic" w:eastAsia="宋体" w:cs="Times New Roman Italic"/>
          <w:b/>
          <w:bCs/>
          <w:i/>
          <w:iCs/>
          <w:color w:val="auto"/>
          <w:kern w:val="2"/>
          <w:sz w:val="21"/>
          <w:szCs w:val="24"/>
          <w:lang w:val="en-US" w:eastAsia="zh-CN" w:bidi="ar-SA"/>
        </w:rPr>
        <w:t>know</w:t>
      </w:r>
      <w:r>
        <w:rPr>
          <w:rFonts w:hint="eastAsia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default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lang w:eastAsia="zh-CN" w:bidi="ar-SA"/>
        </w:rPr>
        <w:tab/>
      </w:r>
      <w:r>
        <w:rPr>
          <w:rFonts w:hint="default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lang w:eastAsia="zh-CN" w:bidi="ar-SA"/>
        </w:rPr>
        <w:tab/>
      </w:r>
      <w:r>
        <w:rPr>
          <w:rFonts w:hint="eastAsia" w:ascii="Times New Roman Italic" w:hAnsi="Times New Roman Italic" w:eastAsia="宋体" w:cs="Times New Roman Italic"/>
          <w:b/>
          <w:bCs/>
          <w:i/>
          <w:iCs/>
          <w:color w:val="auto"/>
          <w:kern w:val="2"/>
          <w:sz w:val="21"/>
          <w:szCs w:val="24"/>
          <w:lang w:val="en-US" w:eastAsia="zh-CN" w:bidi="ar-SA"/>
        </w:rPr>
        <w:t>ought</w:t>
      </w:r>
      <w:r>
        <w:rPr>
          <w:rFonts w:hint="eastAsia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eastAsia" w:ascii="Times New Roman Italic" w:hAnsi="Times New Roman Italic" w:eastAsia="宋体" w:cs="Times New Roman Italic"/>
          <w:b/>
          <w:bCs/>
          <w:i/>
          <w:iCs/>
          <w:color w:val="auto"/>
          <w:kern w:val="2"/>
          <w:sz w:val="21"/>
          <w:szCs w:val="24"/>
          <w:lang w:val="en-US" w:eastAsia="zh-CN" w:bidi="ar-SA"/>
        </w:rPr>
        <w:t>always</w:t>
      </w:r>
      <w:r>
        <w:rPr>
          <w:rFonts w:hint="eastAsia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eastAsia" w:ascii="Times New Roman Italic" w:hAnsi="Times New Roman Italic" w:eastAsia="宋体" w:cs="Times New Roman Italic"/>
          <w:b/>
          <w:bCs/>
          <w:i/>
          <w:iCs/>
          <w:color w:val="auto"/>
          <w:kern w:val="2"/>
          <w:sz w:val="21"/>
          <w:szCs w:val="24"/>
          <w:lang w:val="en-US" w:eastAsia="zh-CN" w:bidi="ar-SA"/>
        </w:rPr>
        <w:t>never</w:t>
      </w:r>
      <w:r>
        <w:rPr>
          <w:rFonts w:hint="eastAsia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eastAsia" w:ascii="Times New Roman Italic" w:hAnsi="Times New Roman Italic" w:eastAsia="宋体" w:cs="Times New Roman Italic"/>
          <w:b/>
          <w:bCs/>
          <w:i/>
          <w:iCs/>
          <w:color w:val="auto"/>
          <w:kern w:val="2"/>
          <w:sz w:val="21"/>
          <w:szCs w:val="24"/>
          <w:lang w:val="en-US" w:eastAsia="zh-CN" w:bidi="ar-SA"/>
        </w:rPr>
        <w:t>hence</w:t>
      </w:r>
      <w:r>
        <w:rPr>
          <w:rFonts w:hint="eastAsia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lang w:val="en-US" w:eastAsia="zh-CN" w:bidi="ar-SA"/>
        </w:rPr>
        <w:t xml:space="preserve">, and </w:t>
      </w:r>
      <w:r>
        <w:rPr>
          <w:rFonts w:hint="eastAsia" w:ascii="Times New Roman Italic" w:hAnsi="Times New Roman Italic" w:eastAsia="宋体" w:cs="Times New Roman Italic"/>
          <w:b/>
          <w:bCs/>
          <w:i/>
          <w:iCs/>
          <w:color w:val="auto"/>
          <w:kern w:val="2"/>
          <w:sz w:val="21"/>
          <w:szCs w:val="24"/>
          <w:lang w:val="en-US" w:eastAsia="zh-CN" w:bidi="ar-SA"/>
        </w:rPr>
        <w:t>because</w:t>
      </w: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auto"/>
          <w:kern w:val="2"/>
          <w:sz w:val="21"/>
          <w:szCs w:val="24"/>
          <w:lang w:eastAsia="zh-CN" w:bidi="ar-SA"/>
        </w:rPr>
        <w:t xml:space="preserve">. </w:t>
      </w:r>
      <w:r>
        <w:rPr>
          <w:rFonts w:hint="default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lang w:val="en-US" w:eastAsia="zh-CN" w:bidi="ar-SA"/>
        </w:rPr>
        <w:t>(Tausczik and Pennebaker 2010)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 w:ascii="Times New Roman Italic" w:hAnsi="Times New Roman Italic" w:eastAsia="宋体" w:cs="Times New Roman Italic"/>
          <w:i w:val="0"/>
          <w:iCs w:val="0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Times New Roman Italic" w:hAnsi="Times New Roman Italic" w:eastAsia="宋体" w:cs="Times New Roman Italic"/>
          <w:i w:val="0"/>
          <w:iCs w:val="0"/>
          <w:color w:val="auto"/>
          <w:kern w:val="2"/>
          <w:sz w:val="21"/>
          <w:szCs w:val="24"/>
          <w:lang w:val="en-US" w:eastAsia="zh-Hans" w:bidi="ar-SA"/>
        </w:rPr>
        <w:t>模型</w:t>
      </w:r>
      <w:r>
        <w:rPr>
          <w:rFonts w:hint="default" w:ascii="Times New Roman Italic" w:hAnsi="Times New Roman Italic" w:eastAsia="宋体" w:cs="Times New Roman Italic"/>
          <w:i w:val="0"/>
          <w:iCs w:val="0"/>
          <w:color w:val="auto"/>
          <w:kern w:val="2"/>
          <w:sz w:val="21"/>
          <w:szCs w:val="24"/>
          <w:lang w:eastAsia="zh-Hans" w:bidi="ar-SA"/>
        </w:rPr>
        <w:t>：</w:t>
      </w:r>
      <w:r>
        <w:rPr>
          <w:rFonts w:hint="eastAsia" w:ascii="Times New Roman Italic" w:hAnsi="Times New Roman Italic" w:eastAsia="宋体" w:cs="Times New Roman Italic"/>
          <w:i w:val="0"/>
          <w:iCs w:val="0"/>
          <w:color w:val="auto"/>
          <w:kern w:val="2"/>
          <w:sz w:val="21"/>
          <w:szCs w:val="24"/>
          <w:lang w:val="en-US" w:eastAsia="zh-Hans" w:bidi="ar-SA"/>
        </w:rPr>
        <w:t>OLS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center"/>
      </w:pPr>
      <w:r>
        <w:drawing>
          <wp:inline distT="0" distB="0" distL="114300" distR="114300">
            <wp:extent cx="4437380" cy="3051810"/>
            <wp:effectExtent l="0" t="0" r="7620" b="2159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 w:ascii="Times New Roman Italic" w:hAnsi="Times New Roman Italic" w:eastAsia="宋体" w:cs="Times New Roman Italic"/>
          <w:b/>
          <w:bCs/>
          <w:i w:val="0"/>
          <w:iCs w:val="0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default" w:ascii="Times New Roman Italic" w:hAnsi="Times New Roman Italic" w:eastAsia="宋体" w:cs="Times New Roman Italic"/>
          <w:b/>
          <w:bCs/>
          <w:i w:val="0"/>
          <w:iCs w:val="0"/>
          <w:color w:val="auto"/>
          <w:kern w:val="2"/>
          <w:sz w:val="21"/>
          <w:szCs w:val="24"/>
          <w:lang w:eastAsia="zh-Hans" w:bidi="ar-SA"/>
        </w:rPr>
        <w:t>·</w:t>
      </w:r>
      <w:r>
        <w:rPr>
          <w:rFonts w:hint="eastAsia" w:ascii="Times New Roman Italic" w:hAnsi="Times New Roman Italic" w:eastAsia="宋体" w:cs="Times New Roman Italic"/>
          <w:b/>
          <w:bCs/>
          <w:i w:val="0"/>
          <w:iCs w:val="0"/>
          <w:color w:val="auto"/>
          <w:kern w:val="2"/>
          <w:sz w:val="21"/>
          <w:szCs w:val="24"/>
          <w:lang w:val="en-US" w:eastAsia="zh-Hans" w:bidi="ar-SA"/>
        </w:rPr>
        <w:t>结论和未尽的问题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 w:ascii="Times New Roman Italic" w:hAnsi="Times New Roman Italic" w:eastAsia="宋体" w:cs="Times New Roman Italic"/>
          <w:i w:val="0"/>
          <w:iCs w:val="0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Times New Roman Italic" w:hAnsi="Times New Roman Italic" w:eastAsia="宋体" w:cs="Times New Roman Italic"/>
          <w:i w:val="0"/>
          <w:iCs w:val="0"/>
          <w:color w:val="auto"/>
          <w:kern w:val="2"/>
          <w:sz w:val="21"/>
          <w:szCs w:val="24"/>
          <w:lang w:val="en-US" w:eastAsia="zh-Hans" w:bidi="ar-SA"/>
        </w:rPr>
        <w:t>策略模型的经验证据</w:t>
      </w:r>
      <w:r>
        <w:rPr>
          <w:rFonts w:hint="default" w:ascii="Times New Roman Italic" w:hAnsi="Times New Roman Italic" w:eastAsia="宋体" w:cs="Times New Roman Italic"/>
          <w:i w:val="0"/>
          <w:iCs w:val="0"/>
          <w:color w:val="auto"/>
          <w:kern w:val="2"/>
          <w:sz w:val="21"/>
          <w:szCs w:val="24"/>
          <w:lang w:eastAsia="zh-Hans" w:bidi="ar-SA"/>
        </w:rPr>
        <w:t>：</w:t>
      </w:r>
      <w:r>
        <w:rPr>
          <w:rFonts w:hint="eastAsia" w:ascii="Times New Roman Italic" w:hAnsi="Times New Roman Italic" w:eastAsia="宋体" w:cs="Times New Roman Italic"/>
          <w:i w:val="0"/>
          <w:iCs w:val="0"/>
          <w:color w:val="auto"/>
          <w:kern w:val="2"/>
          <w:sz w:val="21"/>
          <w:szCs w:val="24"/>
          <w:lang w:val="en-US" w:eastAsia="zh-Hans" w:bidi="ar-SA"/>
        </w:rPr>
        <w:t>法院会策略性地应对媒体监督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Times New Roman Italic" w:hAnsi="Times New Roman Italic" w:eastAsia="宋体" w:cs="Times New Roman Italic"/>
          <w:i w:val="0"/>
          <w:iCs w:val="0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Times New Roman Italic" w:hAnsi="Times New Roman Italic" w:eastAsia="宋体" w:cs="Times New Roman Italic"/>
          <w:i w:val="0"/>
          <w:iCs w:val="0"/>
          <w:color w:val="auto"/>
          <w:kern w:val="2"/>
          <w:sz w:val="21"/>
          <w:szCs w:val="24"/>
          <w:lang w:val="en-US" w:eastAsia="zh-Hans" w:bidi="ar-SA"/>
        </w:rPr>
        <w:t>主动</w:t>
      </w:r>
      <w:r>
        <w:rPr>
          <w:rFonts w:hint="default" w:ascii="Times New Roman Italic" w:hAnsi="Times New Roman Italic" w:eastAsia="宋体" w:cs="Times New Roman Italic"/>
          <w:i w:val="0"/>
          <w:iCs w:val="0"/>
          <w:color w:val="auto"/>
          <w:kern w:val="2"/>
          <w:sz w:val="21"/>
          <w:szCs w:val="24"/>
          <w:lang w:eastAsia="zh-Hans" w:bidi="ar-SA"/>
        </w:rPr>
        <w:t>：</w:t>
      </w:r>
      <w:r>
        <w:rPr>
          <w:rFonts w:hint="eastAsia" w:ascii="Times New Roman Italic" w:hAnsi="Times New Roman Italic" w:eastAsia="宋体" w:cs="Times New Roman Italic"/>
          <w:i w:val="0"/>
          <w:iCs w:val="0"/>
          <w:color w:val="auto"/>
          <w:kern w:val="2"/>
          <w:sz w:val="21"/>
          <w:szCs w:val="24"/>
          <w:lang w:val="en-US" w:eastAsia="zh-Hans" w:bidi="ar-SA"/>
        </w:rPr>
        <w:t>演讲</w:t>
      </w:r>
      <w:r>
        <w:rPr>
          <w:rFonts w:hint="default" w:ascii="Times New Roman Italic" w:hAnsi="Times New Roman Italic" w:eastAsia="宋体" w:cs="Times New Roman Italic"/>
          <w:i w:val="0"/>
          <w:iCs w:val="0"/>
          <w:color w:val="auto"/>
          <w:kern w:val="2"/>
          <w:sz w:val="21"/>
          <w:szCs w:val="24"/>
          <w:lang w:eastAsia="zh-Hans" w:bidi="ar-SA"/>
        </w:rPr>
        <w:t>、</w:t>
      </w:r>
      <w:r>
        <w:rPr>
          <w:rFonts w:hint="eastAsia" w:ascii="Times New Roman Italic" w:hAnsi="Times New Roman Italic" w:eastAsia="宋体" w:cs="Times New Roman Italic"/>
          <w:i w:val="0"/>
          <w:iCs w:val="0"/>
          <w:color w:val="auto"/>
          <w:kern w:val="2"/>
          <w:sz w:val="21"/>
          <w:szCs w:val="24"/>
          <w:lang w:val="en-US" w:eastAsia="zh-Hans" w:bidi="ar-SA"/>
        </w:rPr>
        <w:t>出书等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Times New Roman Italic" w:hAnsi="Times New Roman Italic" w:eastAsia="宋体" w:cs="Times New Roman Italic"/>
          <w:i w:val="0"/>
          <w:iCs w:val="0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Times New Roman Italic" w:hAnsi="Times New Roman Italic" w:eastAsia="宋体" w:cs="Times New Roman Italic"/>
          <w:i w:val="0"/>
          <w:iCs w:val="0"/>
          <w:color w:val="auto"/>
          <w:kern w:val="2"/>
          <w:sz w:val="21"/>
          <w:szCs w:val="24"/>
          <w:lang w:val="en-US" w:eastAsia="zh-Hans" w:bidi="ar-SA"/>
        </w:rPr>
        <w:t>被动</w:t>
      </w:r>
      <w:r>
        <w:rPr>
          <w:rFonts w:hint="default" w:ascii="Times New Roman Italic" w:hAnsi="Times New Roman Italic" w:eastAsia="宋体" w:cs="Times New Roman Italic"/>
          <w:i w:val="0"/>
          <w:iCs w:val="0"/>
          <w:color w:val="auto"/>
          <w:kern w:val="2"/>
          <w:sz w:val="21"/>
          <w:szCs w:val="24"/>
          <w:lang w:eastAsia="zh-Hans" w:bidi="ar-SA"/>
        </w:rPr>
        <w:t>：</w:t>
      </w:r>
      <w:r>
        <w:rPr>
          <w:rFonts w:hint="eastAsia" w:ascii="Times New Roman Italic" w:hAnsi="Times New Roman Italic" w:eastAsia="宋体" w:cs="Times New Roman Italic"/>
          <w:i w:val="0"/>
          <w:iCs w:val="0"/>
          <w:color w:val="auto"/>
          <w:kern w:val="2"/>
          <w:sz w:val="21"/>
          <w:szCs w:val="24"/>
          <w:lang w:val="en-US" w:eastAsia="zh-Hans" w:bidi="ar-SA"/>
        </w:rPr>
        <w:t>法官没有直接与媒体进行互动</w:t>
      </w:r>
      <w:r>
        <w:rPr>
          <w:rFonts w:hint="default" w:ascii="Times New Roman Italic" w:hAnsi="Times New Roman Italic" w:eastAsia="宋体" w:cs="Times New Roman Italic"/>
          <w:i w:val="0"/>
          <w:iCs w:val="0"/>
          <w:color w:val="auto"/>
          <w:kern w:val="2"/>
          <w:sz w:val="21"/>
          <w:szCs w:val="24"/>
          <w:lang w:eastAsia="zh-Hans" w:bidi="ar-SA"/>
        </w:rPr>
        <w:t>，</w:t>
      </w:r>
      <w:r>
        <w:rPr>
          <w:rFonts w:hint="eastAsia" w:ascii="Times New Roman Italic" w:hAnsi="Times New Roman Italic" w:eastAsia="宋体" w:cs="Times New Roman Italic"/>
          <w:i w:val="0"/>
          <w:iCs w:val="0"/>
          <w:color w:val="auto"/>
          <w:kern w:val="2"/>
          <w:sz w:val="21"/>
          <w:szCs w:val="24"/>
          <w:lang w:val="en-US" w:eastAsia="zh-Hans" w:bidi="ar-SA"/>
        </w:rPr>
        <w:t>但他们知道媒体在注意着他们的行为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 w:ascii="Times New Roman Italic" w:hAnsi="Times New Roman Italic" w:eastAsia="宋体" w:cs="Times New Roman Italic"/>
          <w:i w:val="0"/>
          <w:iCs w:val="0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Times New Roman Italic" w:hAnsi="Times New Roman Italic" w:eastAsia="宋体" w:cs="Times New Roman Italic"/>
          <w:i w:val="0"/>
          <w:iCs w:val="0"/>
          <w:color w:val="auto"/>
          <w:kern w:val="2"/>
          <w:sz w:val="21"/>
          <w:szCs w:val="24"/>
          <w:lang w:val="en-US" w:eastAsia="zh-Hans" w:bidi="ar-SA"/>
        </w:rPr>
        <w:t>媒体监督能够发挥作用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lang w:eastAsia="zh-Hans" w:bidi="ar-S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Times New Roman Italic" w:hAnsi="Times New Roman Italic" w:eastAsia="宋体" w:cs="Times New Roman Italic"/>
          <w:i w:val="0"/>
          <w:iCs w:val="0"/>
          <w:color w:val="auto"/>
          <w:kern w:val="2"/>
          <w:sz w:val="21"/>
          <w:szCs w:val="24"/>
          <w:lang w:val="en-US" w:eastAsia="zh-Hans" w:bidi="ar-SA"/>
        </w:rPr>
      </w:pPr>
      <w:r>
        <w:rPr>
          <w:rFonts w:hint="eastAsia" w:ascii="Times New Roman Italic" w:hAnsi="Times New Roman Italic" w:eastAsia="宋体" w:cs="Times New Roman Italic"/>
          <w:i w:val="0"/>
          <w:iCs w:val="0"/>
          <w:color w:val="auto"/>
          <w:kern w:val="2"/>
          <w:sz w:val="21"/>
          <w:szCs w:val="24"/>
          <w:lang w:val="en-US" w:eastAsia="zh-Hans" w:bidi="ar-SA"/>
        </w:rPr>
        <w:t>媒体监督不是唯一重要的因素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Italic" w:hAnsi="Times New Roman Italic" w:eastAsia="宋体" w:cs="Times New Roman Italic"/>
          <w:i/>
          <w:iCs/>
          <w:color w:val="auto"/>
          <w:kern w:val="2"/>
          <w:sz w:val="21"/>
          <w:szCs w:val="24"/>
          <w:lang w:eastAsia="zh-Hans" w:bidi="ar-S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  <w:kern w:val="2"/>
          <w:sz w:val="21"/>
          <w:szCs w:val="24"/>
          <w:lang w:eastAsia="zh-CN" w:bidi="ar-SA"/>
        </w:rPr>
      </w:pPr>
    </w:p>
    <w:p>
      <w:pPr>
        <w:tabs>
          <w:tab w:val="left" w:pos="633"/>
        </w:tabs>
        <w:bidi w:val="0"/>
        <w:jc w:val="both"/>
        <w:rPr>
          <w:rFonts w:hint="eastAsia" w:ascii="宋体" w:hAnsi="宋体" w:eastAsia="宋体" w:cs="宋体"/>
          <w:color w:val="auto"/>
          <w:kern w:val="2"/>
          <w:sz w:val="21"/>
          <w:szCs w:val="24"/>
          <w:lang w:val="en-US" w:eastAsia="zh-Hans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FDB1B8"/>
    <w:multiLevelType w:val="singleLevel"/>
    <w:tmpl w:val="DDFDB1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FB33E"/>
    <w:multiLevelType w:val="singleLevel"/>
    <w:tmpl w:val="FFFFB3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F6ACD3"/>
    <w:multiLevelType w:val="singleLevel"/>
    <w:tmpl w:val="59F6ACD3"/>
    <w:lvl w:ilvl="0" w:tentative="0">
      <w:start w:val="2"/>
      <w:numFmt w:val="chineseCounting"/>
      <w:suff w:val="nothing"/>
      <w:lvlText w:val="%1、"/>
      <w:lvlJc w:val="left"/>
      <w:pPr>
        <w:ind w:left="55" w:leftChars="0" w:firstLine="0" w:firstLineChars="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F22AB5"/>
    <w:rsid w:val="3FD52E3E"/>
    <w:rsid w:val="7C2BC31E"/>
    <w:rsid w:val="DCDE12AE"/>
    <w:rsid w:val="E3F22AB5"/>
    <w:rsid w:val="FE7A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4"/>
      <w:szCs w:val="24"/>
      <w:lang w:val="en-US" w:eastAsia="zh-CN" w:bidi="ar"/>
    </w:rPr>
  </w:style>
  <w:style w:type="paragraph" w:customStyle="1" w:styleId="5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000000"/>
      <w:kern w:val="0"/>
      <w:sz w:val="16"/>
      <w:szCs w:val="16"/>
      <w:lang w:val="en-US" w:eastAsia="zh-CN" w:bidi="ar"/>
    </w:rPr>
  </w:style>
  <w:style w:type="character" w:customStyle="1" w:styleId="6">
    <w:name w:val="s1"/>
    <w:basedOn w:val="4"/>
    <w:qFormat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121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2022-07-20T03:46:00Z</dcterms:created>
  <dc:creator>2020012009</dc:creator>
  <cp:lastModifiedBy>2020012009</cp:lastModifiedBy>
  <dcterms:modified xsi:type="dcterms:W3CDTF">2022-07-20T22:18:28Z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437D86F49180FC8F2329D6621368248D</vt:lpwstr>
  </property>
</Properties>
</file>