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共同代理关系与监管治理失灵 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基于企业委托型第三方检测的实证研究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公共行政评论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 xml:space="preserve"> 2022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eastAsia="zh-Hans" w:bidi="ar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highlight w:val="yellow"/>
          <w:lang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本文作者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张伊静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中国人民大学公共管理学院博士生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刘鹏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中国人民大学公共管理学院教授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一句话总结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基于共同代理理论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讨论了中国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企业委托型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第三方监管为什么会失灵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研究背景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.第三方监管模式成为重要的社会监管方式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政府面对复杂的监管对象和多样的监管需求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截止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2019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年底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全国累计颁发有效认证证书 222. 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万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张。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到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2019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年底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全国检验检测机构已向社会出具了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10. 57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亿份报告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国家认监委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，2020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tabs>
          <w:tab w:val="left" w:pos="394"/>
        </w:tabs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.部分第三方监管机构出现了监管失灵现象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2019年，有关部门在认证领域进行的抽查、全面检查和重点检查，共发现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2176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问题，下架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1743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万件认证证书不合格的问题商品; 在检验检测领域，相关部门抽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查发现了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932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项问题，查处违法违规案件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1995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起，撤销或注销资质认定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442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家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国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认监委，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2020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文献综述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第三方监管机构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多元参与的监管治理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R-I-T模式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监管者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中介者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目标企业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其中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中介者指为监管者提供支持和外部援助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与监管者推动实现监管的目标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Abbott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et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al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. , 2017b)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包括以利润为导向的信用评级机构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营利性认证公司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检测机构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也包括非盈利的行业协会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人权组织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( Kruck, 2017; Pegram, 2017; 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对于中国的第三方监管机构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既有文献讨论了如何对第三方组织如何发挥作用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如何对其进行管理和规范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杨琇琇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，2012；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朱虹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，2012；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龚维斌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，2020；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张曼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，2014）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缺乏将第三方监管机构作为监管主体进行专门分析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研究目的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检测机构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为例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分析中国的第三方监管机构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检测机构区别于政企二元主体，是典型的第三方监管机构，它们置身于买卖利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益之外，独立地出具检测报告，提供产品质量信息，在监管过程中发挥着日益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重要的作用。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第三方监管失灵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第三方监管面临诸如地方保护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价格战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公信力不足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诚信机制缺位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能力资质匮乏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社会责任感不强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缺乏品牌号召力等问题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潘淑贤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，2020；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施禅臻等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，2020；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李泽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段斌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，2020）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影响第三方监管治理效果的因素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社会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政治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法律背景等外部环境的影响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监管者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被监管者和相关行业情况对监管治理效果的影响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机构自身的业务能力稳定性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张锋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，2018; Maggetti et al. , 2015;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高粮红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，2018）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共同代理理论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Common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Agency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Theory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>）：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P-A模型的分支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关注和讨论多个委托人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一个代理人情况下的互动关系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( Bernheim&amp; Whinston, 1985)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完全信息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不完全信息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委托人任务同质性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异质性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静态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动态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在贴近现实的条件下研究共同代理关系中各方偏好的影响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激励条款的效能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王小芳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管锡展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，2004；David et al. , 2018）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分析框架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直接委托方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政府委托型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企业委托型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drawing>
          <wp:inline distT="0" distB="0" distL="114300" distR="114300">
            <wp:extent cx="5271770" cy="2268855"/>
            <wp:effectExtent l="0" t="0" r="11430" b="17145"/>
            <wp:docPr id="1" name="图片 1" descr="截屏2022-04-13 下午3.2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4-13 下午3.26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在政府委托中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第三方监管的性质较弱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检测机构扮演技术性工作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企业委托检测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的业务量更大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行政干预更弱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检测机构的独立性更强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共同代理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社会公众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企业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131435" cy="2127885"/>
            <wp:effectExtent l="0" t="0" r="2476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分析框架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eastAsia="zh-Hans"/>
        </w:rPr>
      </w:pPr>
      <w:r>
        <w:drawing>
          <wp:inline distT="0" distB="0" distL="114300" distR="114300">
            <wp:extent cx="4773295" cy="1940560"/>
            <wp:effectExtent l="0" t="0" r="190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资料来源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一手资料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地方监管机构代表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人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企业委托方代表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人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检测机构代表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二手资料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来源于政府网站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新闻报道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期刊论文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统计年鉴等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实证分析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委托方之间的异质性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需求偏好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企业客户有优质和劣质之分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愿意接受高报价进行专业检测的企业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需求是获取合格的检测报告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希望检测机构设法证明其产品的合格性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社会公众的需求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缓解信息不对称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作出更加理性正确的消费选择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强势程度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企业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非政府的检测业务大多由卖方企业委托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强势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社会公众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维权意识不强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素质和觉悟参差不齐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控制程度较弱等……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代理方需求及其处境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营利性身份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第三方检测机构面临着私人财物利益和专业义务之间的冲突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( Lytton &amp; Mcallister, 2014)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部分检测机构不接受消费者个人委托的检测义务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both"/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“你买了一盒 A 品牌的饼干，怀疑质量有问题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你去委托一家检测机构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做检测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不好意思，很难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原因就在于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你去做这个检测，可能就 </w:t>
      </w:r>
      <w:bookmarkStart w:id="0" w:name="_GoBack"/>
      <w:bookmarkEnd w:id="0"/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1000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元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而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品牌一年的检测费可能是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0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万，检测机构会为了 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1000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元去得罪 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0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万元的客户吗?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both"/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  <w:t>“与消费者不发生直接联系的检测都是无意义的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  <w:t>而我国的检测机构恰恰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Hans" w:bidi="ar"/>
        </w:rPr>
        <w:tab/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  <w:t>是脱离消费者的”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行业内恶性竞争状况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部分领域检测机构的资质评审要求并不高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相当一部分检测机构迫切需要争取客户以维护生存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企业通常仅基于“价格”来选择合作机构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出现了“价格战”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检测机构大多会选择压低成本以维持利润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导致监管治理的失灵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造假的风险问题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clear" w:pos="840"/>
        </w:tabs>
        <w:ind w:left="840" w:leftChars="0" w:hanging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违规造假的成本和收益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检测机构存在一定自由裁量和“操作”的空间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可以在不明显违规的情况下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出举比较符合直接委托方心意的检测报告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部分企业委托方愿意出高价要求检测机构造假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u w:val="single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single"/>
          <w:lang w:val="en-US" w:eastAsia="zh-Hans" w:bidi="ar"/>
        </w:rPr>
        <w:t>不同行业领域造假的风险和成本不同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clear" w:pos="840"/>
        </w:tabs>
        <w:ind w:left="840" w:leftChars="0" w:hanging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外部监管力度问题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公共部门的监管举措震慑效果有限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/>
        <w:jc w:val="both"/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声誉机制的运行情况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声誉机制作为代理人问题的重要解决办法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王旭晖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  <w:t>张其林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eastAsia="zh-Hans" w:bidi="ar"/>
        </w:rPr>
        <w:t>，2017）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both"/>
        <w:rPr>
          <w:rFonts w:hint="default" w:ascii="宋体" w:hAnsi="宋体" w:eastAsia="宋体" w:cs="宋体"/>
          <w:i w:val="0"/>
          <w:iCs w:val="0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  <w:t>现实来看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Hans" w:bidi="ar"/>
        </w:rPr>
        <w:t>中国检测领域的信任和声誉机制难以建立和发挥作用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中国检测行业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的发展进入一个怪圈: 检测机构缺乏声誉，选择依靠讨好委托方、压低报价来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赢利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这使得他们丢失了客观性和专业性，难以获得民众的信任和品牌声誉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进而促使他们只能讨好委托方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压低报价</w:t>
      </w:r>
      <w:r>
        <w:rPr>
          <w:rFonts w:hint="default" w:ascii="宋体" w:hAnsi="宋体" w:eastAsia="宋体" w:cs="宋体"/>
          <w:i/>
          <w:iCs/>
          <w:color w:val="000000"/>
          <w:kern w:val="0"/>
          <w:sz w:val="21"/>
          <w:szCs w:val="21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结论与未尽的问题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022215" cy="2439035"/>
            <wp:effectExtent l="0" t="0" r="6985" b="247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政策建议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外部监管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资质审查和双随机审查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落实日常信用评级机构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建立检测机构互相监督机制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检测机构与企业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调整付费模式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进行价格管控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·</w:t>
      </w:r>
      <w:r>
        <w:rPr>
          <w:rFonts w:hint="eastAsia"/>
          <w:lang w:val="en-US" w:eastAsia="zh-Hans"/>
        </w:rPr>
        <w:t>检测机构与公众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普法宣传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不得无正当理由拒绝检测服务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主动公开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对第三方检测失灵做了整体的扫描和描述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18"/>
        </w:tabs>
        <w:bidi w:val="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TJ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422B"/>
    <w:multiLevelType w:val="multilevel"/>
    <w:tmpl w:val="6256422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567D7B"/>
    <w:multiLevelType w:val="multilevel"/>
    <w:tmpl w:val="62567D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567FB4"/>
    <w:multiLevelType w:val="singleLevel"/>
    <w:tmpl w:val="62567FB4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62567FCD"/>
    <w:multiLevelType w:val="multilevel"/>
    <w:tmpl w:val="62567FC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56820B"/>
    <w:multiLevelType w:val="singleLevel"/>
    <w:tmpl w:val="6256820B"/>
    <w:lvl w:ilvl="0" w:tentative="0">
      <w:start w:val="2"/>
      <w:numFmt w:val="chineseCounting"/>
      <w:suff w:val="nothing"/>
      <w:lvlText w:val="（%1）"/>
      <w:lvlJc w:val="left"/>
    </w:lvl>
  </w:abstractNum>
  <w:abstractNum w:abstractNumId="5">
    <w:nsid w:val="6256822C"/>
    <w:multiLevelType w:val="multilevel"/>
    <w:tmpl w:val="6256822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256853A"/>
    <w:multiLevelType w:val="singleLevel"/>
    <w:tmpl w:val="6256853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D1476"/>
    <w:rsid w:val="37F672DD"/>
    <w:rsid w:val="EC856844"/>
    <w:rsid w:val="FEB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2022-04-13T18:21:00Z</dcterms:created>
  <dc:creator>zhaohe</dc:creator>
  <cp:lastModifiedBy>zhaohe</cp:lastModifiedBy>
  <dcterms:modified xsi:type="dcterms:W3CDTF">2022-04-14T09:46:54Z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