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Ansi="AdvOT031da8bf" w:eastAsia="AdvOT031da8bf" w:cs="AdvOT031da8bf" w:asciiTheme="majorAscii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Ansi="AdvOT031da8bf" w:eastAsia="AdvOT031da8bf" w:cs="AdvOT031da8bf" w:asciiTheme="majorAscii"/>
          <w:b/>
          <w:bCs/>
          <w:color w:val="auto"/>
          <w:kern w:val="0"/>
          <w:sz w:val="21"/>
          <w:szCs w:val="21"/>
          <w:lang w:val="en-US" w:eastAsia="zh-CN" w:bidi="ar"/>
        </w:rPr>
        <w:t>Revealing Issue Salience via Costly Protest</w:t>
      </w:r>
      <w:r>
        <w:rPr>
          <w:rFonts w:hAnsi="AdvOT031da8bf" w:eastAsia="AdvOT031da8bf" w:cs="AdvOT031da8bf" w:asciiTheme="majorAscii"/>
          <w:b/>
          <w:bCs/>
          <w:color w:val="auto"/>
          <w:kern w:val="0"/>
          <w:sz w:val="21"/>
          <w:szCs w:val="21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center"/>
        <w:rPr>
          <w:rFonts w:hint="default" w:hAnsi="AdvOT031da8bf" w:eastAsia="AdvOT031da8bf" w:cs="AdvOT031da8bf" w:asciiTheme="majorAscii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Ansi="AdvOT031da8bf" w:eastAsia="AdvOT031da8bf" w:cs="AdvOT031da8bf" w:asciiTheme="majorAscii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How </w:t>
      </w:r>
      <w:r>
        <w:rPr>
          <w:rFonts w:hint="default" w:hAnsi="AdvOT031da8bf" w:eastAsia="AdvOT031da8bf" w:cs="AdvOT031da8bf" w:asciiTheme="majorAscii"/>
          <w:b/>
          <w:bCs/>
          <w:color w:val="auto"/>
          <w:kern w:val="0"/>
          <w:sz w:val="21"/>
          <w:szCs w:val="21"/>
          <w:lang w:val="en-US" w:eastAsia="zh-CN" w:bidi="ar"/>
        </w:rPr>
        <w:t>Legislative Behavior Following Protest Advantages Low-Resource Groups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BJPS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yellow"/>
          <w:lang w:val="en-US" w:eastAsia="zh-Hans" w:bidi="ar"/>
        </w:rPr>
        <w:t>本文作者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LaGina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Gause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Department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 xml:space="preserve"> of Political Science,University of California,San Diego,La Jolla,CA,USA.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Hans" w:bidi="ar"/>
        </w:rPr>
        <w:drawing>
          <wp:inline distT="0" distB="0" distL="114300" distR="114300">
            <wp:extent cx="1946910" cy="1946910"/>
            <wp:effectExtent l="0" t="0" r="8890" b="8890"/>
            <wp:docPr id="3" name="图片 3" descr="8E7DA39E-0B0E-43E6-BC61-0CED1B658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7DA39E-0B0E-43E6-BC61-0CED1B658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yellow"/>
          <w:lang w:val="en-US" w:eastAsia="zh-Hans" w:bidi="ar"/>
        </w:rPr>
        <w:t>一句话总结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相比于其他表达意见的方式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抗议更容易引起立法者的关注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；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相比于拥有更多社会资源的群体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在发生了集体抗议事件后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立法者更倾向于支持弱势群体的诉求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yellow"/>
          <w:lang w:val="en-US" w:eastAsia="zh-Hans" w:bidi="ar"/>
        </w:rPr>
        <w:t>文献综述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1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.集体抗议与立法者的回应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集体抗议会影响立法行为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；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尤其是对于有意参加再选的议员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Cress and Snow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2000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; Gamson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1975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; Lipsky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1968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; Piven and Cloward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1977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eastAsia="zh-CN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Kollman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1998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;Lohmann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1993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).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事件对于公民的重要性越强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立法者越有可能加大对事件的重视程度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(Canes-Wrone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2001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Kingdon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1977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Kollman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1998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在常规的政治参与中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弱势群体由于缺乏社会资源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容易被忽视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Banks, White and McKenzie </w:t>
      </w:r>
      <w:r>
        <w:rPr>
          <w:rFonts w:hint="eastAsia" w:ascii="宋体" w:hAnsi="宋体" w:eastAsia="宋体" w:cs="宋体"/>
          <w:color w:val="0000FF"/>
          <w:kern w:val="0"/>
          <w:sz w:val="20"/>
          <w:szCs w:val="20"/>
          <w:lang w:val="en-US" w:eastAsia="zh-CN" w:bidi="ar"/>
        </w:rPr>
        <w:t>2018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; Klandermans </w:t>
      </w:r>
      <w:r>
        <w:rPr>
          <w:rFonts w:hint="eastAsia" w:ascii="宋体" w:hAnsi="宋体" w:eastAsia="宋体" w:cs="宋体"/>
          <w:color w:val="0000FF"/>
          <w:kern w:val="0"/>
          <w:sz w:val="20"/>
          <w:szCs w:val="20"/>
          <w:lang w:val="en-US" w:eastAsia="zh-CN" w:bidi="ar"/>
        </w:rPr>
        <w:t>1984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集体性事件中的弱势群体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由于社会资源的限制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弱势群体通常只有在拥有强烈的诉求时才会发动集体抗议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costly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）；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而对于拥有更好社会资源的群体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由于政治参与的成本较低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导致发动集体抗议时的诉求相对来讲可能是不强烈的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(Banks, White and McKenzie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2018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; Klandermans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1984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964940" cy="2235200"/>
            <wp:effectExtent l="0" t="0" r="228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highlight w:val="yellow"/>
          <w:lang w:eastAsia="zh-CN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  <w:t>假设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立法者更倾向于支持进行集体抗议的群体的诉求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同样进行了集体抗议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少数族裔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低收入群体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草根抗议群体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拥有较少社会资源的弱势群体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的诉求更有可能得到后续立法行为的支持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Hans" w:bidi="ar"/>
        </w:rPr>
        <w:t>博弈论模型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在集体抗议事件中的两个行动者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：Group/Legislator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效用函数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Group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drawing>
          <wp:inline distT="0" distB="0" distL="114300" distR="114300">
            <wp:extent cx="5274310" cy="7086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效用函数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Legislator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eastAsia="zh-CN" w:bidi="ar"/>
        </w:rPr>
        <w:drawing>
          <wp:inline distT="0" distB="0" distL="114300" distR="114300">
            <wp:extent cx="5272405" cy="513080"/>
            <wp:effectExtent l="0" t="0" r="10795" b="20320"/>
            <wp:docPr id="2" name="图片 2" descr="截屏2022-01-19 上午12.08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1-19 上午12.08.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当支持Group的预期收益大于不支持时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立法者会选择支持Group的诉求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0"/>
          <w:szCs w:val="20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highlight w:val="yellow"/>
          <w:lang w:val="en-US" w:eastAsia="zh-Hans" w:bidi="ar"/>
        </w:rPr>
        <w:t>实证检验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假设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Hypothesis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 xml:space="preserve"> 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:相对于没有进行抗议的群体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立法者更有可能支持进行了抗议的群体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Hypothesis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 xml:space="preserve"> 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:当抗议者的社会资源水平下降时</w:t>
      </w:r>
      <w:r>
        <w:rPr>
          <w:rFonts w:hint="default" w:ascii="宋体" w:hAnsi="宋体" w:eastAsia="宋体" w:cs="宋体"/>
          <w:color w:val="000000"/>
          <w:kern w:val="0"/>
          <w:sz w:val="20"/>
          <w:szCs w:val="2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立法者会更倾向于支持他们的诉求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Hans" w:bidi="ar"/>
        </w:rPr>
        <w:t>数据来源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Hans" w:bidi="ar"/>
        </w:rPr>
        <w:t>L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egislative roll-call vote data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from the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102nd through the 104th US Congresses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and data on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civil rights, minority issues and civil liberties issue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area protests reported in the </w:t>
      </w:r>
      <w:r>
        <w:rPr>
          <w:rFonts w:hint="eastAsia" w:asciiTheme="minorEastAsia" w:hAnsiTheme="minorEastAsia" w:eastAsiaTheme="minorEastAsia" w:cstheme="minorEastAsia"/>
          <w:i/>
          <w:iCs/>
          <w:color w:val="000000"/>
          <w:kern w:val="0"/>
          <w:sz w:val="21"/>
          <w:szCs w:val="21"/>
          <w:lang w:val="en-US" w:eastAsia="zh-CN" w:bidi="ar"/>
        </w:rPr>
        <w:t>New York Times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instrText xml:space="preserve"> HYPERLINK "http://www.govtrack.us" </w:instrTex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http://www.govtrack.us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color w:val="0000FF"/>
          <w:kern w:val="0"/>
          <w:sz w:val="21"/>
          <w:szCs w:val="21"/>
          <w:lang w:eastAsia="zh-CN" w:bidi="ar"/>
        </w:rPr>
        <w:t>；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GIS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 xml:space="preserve">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software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变量处理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自变量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收入水平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种族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组织能力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没有发生抗议事件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——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DU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拥有较多资源的群体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——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DU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拥有较少资源的群体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——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DU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因变量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support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如果立法者的投票行为和抗议者的诉求一致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——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DU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780" w:leftChars="0" w:firstLine="630" w:firstLineChars="30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否则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——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DU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对于没有发生抗议事件的地区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根据民调问卷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如果受访者对一半以上的问题表示了认可的态度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——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DU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780" w:leftChars="0" w:firstLine="630" w:firstLineChars="30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否则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——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DU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实证结果</w:t>
      </w:r>
      <w:r>
        <w:drawing>
          <wp:inline distT="0" distB="0" distL="114300" distR="114300">
            <wp:extent cx="5271135" cy="2847975"/>
            <wp:effectExtent l="0" t="0" r="12065" b="22225"/>
            <wp:docPr id="6" name="图片 6" descr="截屏2022-01-19 上午1.1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1-19 上午1.12.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当抗议者的社会资源水平降低时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立法者更有可能支持抗议者的诉求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但是对于组织能力这一维度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回归的结果不显著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此外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在进一步的检验中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作者发现民主党的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女性的议员更有可能对抗议者的诉求表示支持</w:t>
      </w:r>
      <w:r>
        <w:rPr>
          <w:rFonts w:hint="default"/>
          <w:lang w:eastAsia="zh-Hans"/>
        </w:rPr>
        <w:t xml:space="preserve"> </w:t>
      </w:r>
      <w:r>
        <w:drawing>
          <wp:inline distT="0" distB="0" distL="114300" distR="114300">
            <wp:extent cx="5270500" cy="4689475"/>
            <wp:effectExtent l="0" t="0" r="1270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</w:pPr>
      <w:r>
        <w:drawing>
          <wp:inline distT="0" distB="0" distL="114300" distR="114300">
            <wp:extent cx="5266055" cy="3529330"/>
            <wp:effectExtent l="0" t="0" r="17145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关于为什么在组织能力这一维度回归的结果是不显著的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立法者关注的问题可能是抗议群体的数量而不是抗议者的组织能力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是否由有组织的利益集团发动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2）《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纽约时报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》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的报道会进一步促进事件的传播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；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组织能力不同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抗议的时间不同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得到的报道数量也不同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3）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抗议的破坏性问题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5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.安慰剂检验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如果产生了弱势群体发动的抗议事件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立法者在投票过程中会对弱势群体的诉求表达出更支持的态度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；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那么在抗议期间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对于跟抗议者诉求无关的议题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立法者应该表现出更少的支持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Hans" w:bidi="ar"/>
        </w:rPr>
        <w:t>结论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支持原假设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yellow"/>
          <w:lang w:val="en-US" w:eastAsia="zh-Hans" w:bidi="ar"/>
        </w:rPr>
      </w:pPr>
      <w:r>
        <w:rPr>
          <w:rFonts w:hint="default" w:ascii="宋体" w:hAnsi="宋体" w:eastAsia="宋体" w:cs="宋体"/>
          <w:color w:val="auto"/>
          <w:kern w:val="0"/>
          <w:sz w:val="21"/>
          <w:szCs w:val="21"/>
          <w:highlight w:val="yellow"/>
          <w:lang w:eastAsia="zh-Hans" w:bidi="ar"/>
        </w:rPr>
        <w:t>·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yellow"/>
          <w:lang w:val="en-US" w:eastAsia="zh-Hans" w:bidi="ar"/>
        </w:rPr>
        <w:t>结论和讨论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相比于其他表达意见的方式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抗议更容易引起立法者的关注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；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相比于拥有更多社会资源的群体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在发生了集体抗议事件后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立法者更倾向于支持弱势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对于弱势群体而言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尽管群体抗议可能是昂贵的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但也可能是有效的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未尽的问题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关注立法者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/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议员的其他行为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如演讲等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用投票作为衡量立法者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/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议员态度的标准存在不足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强烈的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/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温和的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——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DU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=1）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社交媒体的影响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  <w:t>参与成本降低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Hans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dvOT031da8b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1ef757c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dvOT7d6df7ab . 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6DF27"/>
    <w:multiLevelType w:val="singleLevel"/>
    <w:tmpl w:val="61E6DF27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1E6E8E8"/>
    <w:multiLevelType w:val="singleLevel"/>
    <w:tmpl w:val="61E6E8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C523C"/>
    <w:rsid w:val="19BD7E32"/>
    <w:rsid w:val="5A355CEF"/>
    <w:rsid w:val="5FF394F8"/>
    <w:rsid w:val="6AAE4C28"/>
    <w:rsid w:val="7F1DD493"/>
    <w:rsid w:val="7FBC523C"/>
    <w:rsid w:val="EDDD274E"/>
    <w:rsid w:val="EFDF0F2E"/>
    <w:rsid w:val="EFFEF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2022-01-18T01:03:00Z</dcterms:created>
  <dc:creator>zhaohe</dc:creator>
  <cp:lastModifiedBy>zhaohe</cp:lastModifiedBy>
  <dcterms:modified xsi:type="dcterms:W3CDTF">2022-01-19T21:28:36Z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