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3A8A"/>
          <w:sz w:val="24"/>
        </w:rPr>
        <w:t>PROFESSIONAL EMAIL COMMUNICATION TEMPLATE</w:t>
      </w:r>
    </w:p>
    <w:p>
      <w:pPr>
        <w:spacing w:after="240"/>
      </w:pPr>
      <w:r>
        <w:rPr>
          <w:i/>
          <w:color w:val="475569"/>
          <w:sz w:val="20"/>
        </w:rPr>
        <w:t>Scenario: Responding to a Technical Meeting Invitation &amp; Rescheduling Request</w:t>
      </w:r>
    </w:p>
    <w:p>
      <w:pPr>
        <w:spacing w:after="280"/>
        <w:pBdr>
          <w:bottom w:val="single" w:sz="14" w:space="1" w:color="1E3A8A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color="E2E8F0" w:space="0"/>
              <w:left w:val="single" w:sz="16" w:color="1E3A8A" w:space="0"/>
              <w:bottom w:val="single" w:sz="4" w:color="E2E8F0" w:space="0"/>
              <w:right w:val="single" w:sz="4" w:color="E2E8F0" w:space="0"/>
            </w:tcBorders>
          </w:tcPr>
          <w:p>
            <w:pPr>
              <w:spacing w:after="40"/>
            </w:pPr>
            <w:r>
              <w:rPr>
                <w:b/>
                <w:color w:val="1E3A8A"/>
                <w:sz w:val="19"/>
              </w:rPr>
              <w:t>SENDER DETAILS &amp; METADATA</w:t>
              <w:br/>
            </w:r>
            <w:r>
              <w:rPr>
                <w:color w:val="475569"/>
                <w:sz w:val="19"/>
              </w:rPr>
              <w:t>• Name: Patan Hashmi  |  Roll Number: 261FB04031</w:t>
              <w:br/>
              <w:t>• Program: M.Tech in Computer Science and Engineering</w:t>
              <w:br/>
              <w:t>• Communication Type: Executive Email Response (Invitation Acceptance with Conflict &amp; Proposed Alternative Windows)</w:t>
            </w:r>
          </w:p>
        </w:tc>
      </w:tr>
    </w:tbl>
    <w:p>
      <w:pPr>
        <w:spacing w:before="160"/>
      </w:pPr>
    </w:p>
    <w:p>
      <w:pPr>
        <w:spacing w:before="200" w:after="80"/>
      </w:pPr>
      <w:r>
        <w:rPr>
          <w:b/>
          <w:color w:val="1E3A8A"/>
          <w:sz w:val="26"/>
        </w:rPr>
        <w:t>Executive Email 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FFF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single" w:sz="6" w:color="CBD5E1" w:space="0"/>
              <w:left w:val="single" w:sz="20" w:color="2563EB" w:space="0"/>
              <w:bottom w:val="single" w:sz="6" w:color="CBD5E1" w:space="0"/>
              <w:right w:val="single" w:sz="6" w:color="CBD5E1" w:space="0"/>
            </w:tcBorders>
          </w:tcPr>
          <w:p>
            <w:pPr>
              <w:spacing w:after="200"/>
            </w:pPr>
            <w:r>
              <w:rPr>
                <w:b/>
                <w:color w:val="1E3A8A"/>
                <w:sz w:val="20"/>
              </w:rPr>
              <w:t xml:space="preserve">Subject: </w:t>
            </w:r>
            <w:r>
              <w:rPr>
                <w:sz w:val="20"/>
              </w:rPr>
              <w:t>Re: Invitation: Q4 Architecture Review &amp; Agentic AI Roadmap Discussion – Time Adjustment</w:t>
              <w:br/>
            </w:r>
            <w:r>
              <w:rPr>
                <w:b/>
                <w:color w:val="1E3A8A"/>
                <w:sz w:val="20"/>
              </w:rPr>
              <w:t xml:space="preserve">To: </w:t>
            </w:r>
            <w:r>
              <w:rPr>
                <w:sz w:val="20"/>
              </w:rPr>
              <w:t>Rahul Verma, Lead Systems Architect</w:t>
              <w:br/>
            </w:r>
            <w:r>
              <w:rPr>
                <w:b/>
                <w:color w:val="1E3A8A"/>
                <w:sz w:val="20"/>
              </w:rPr>
              <w:t xml:space="preserve">From: </w:t>
            </w:r>
            <w:r>
              <w:rPr>
                <w:sz w:val="20"/>
              </w:rPr>
              <w:t>Patan Hashmi (261FB04031), M.Tech CSE</w:t>
              <w:br/>
            </w:r>
          </w:p>
          <w:p>
            <w:pPr>
              <w:spacing w:after="160"/>
            </w:pPr>
            <w:r>
              <w:rPr>
                <w:b/>
              </w:rPr>
              <w:t>Hi Rahul,</w:t>
            </w:r>
          </w:p>
          <w:p>
            <w:pPr>
              <w:spacing w:after="160"/>
            </w:pPr>
            <w:r>
              <w:t>Thank you for the invitation. I cannot attend Tuesday at 2:00 PM due to a scheduled department lab review session, but I would very much like to participate in this roadmap discussion as our Agentic AI milestones are central to this review.</w:t>
            </w:r>
          </w:p>
          <w:p>
            <w:pPr>
              <w:spacing w:after="80"/>
            </w:pPr>
            <w:r>
              <w:t>Could we reschedule our discussion to one of the following available slots?</w:t>
            </w:r>
          </w:p>
          <w:p>
            <w:pPr>
              <w:pStyle w:val="ListBullet"/>
              <w:spacing w:after="40"/>
            </w:pPr>
            <w:r>
              <w:rPr>
                <w:b/>
              </w:rPr>
              <w:t xml:space="preserve">Tuesday, October 13: </w:t>
            </w:r>
            <w:r>
              <w:t>04:00 PM – 05:00 PM</w:t>
            </w:r>
          </w:p>
          <w:p>
            <w:pPr>
              <w:pStyle w:val="ListBullet"/>
              <w:spacing w:after="160"/>
            </w:pPr>
            <w:r>
              <w:rPr>
                <w:b/>
              </w:rPr>
              <w:t xml:space="preserve">Wednesday, October 14: </w:t>
            </w:r>
            <w:r>
              <w:t>10:30 AM – 11:30 AM  |  02:00 PM – 03:30 PM</w:t>
            </w:r>
          </w:p>
          <w:p>
            <w:pPr>
              <w:spacing w:after="80"/>
            </w:pPr>
            <w:r>
              <w:rPr>
                <w:b/>
                <w:color w:val="1E3A8A"/>
              </w:rPr>
              <w:t>Preparation &amp; Agenda Items:</w:t>
            </w:r>
          </w:p>
          <w:p>
            <w:pPr>
              <w:pStyle w:val="ListBullet"/>
              <w:spacing w:after="40"/>
            </w:pPr>
            <w:r>
              <w:t>I have scheduled a 10-minute technical demonstration covering our team's multi-agent tool-calling framework.</w:t>
            </w:r>
          </w:p>
          <w:p>
            <w:pPr>
              <w:pStyle w:val="ListBullet"/>
              <w:spacing w:after="160"/>
            </w:pPr>
            <w:r>
              <w:t>Please let me know if you prefer formal presentation slides in advance or an interactive live environment walkthrough.</w:t>
            </w:r>
          </w:p>
          <w:p>
            <w:pPr>
              <w:spacing w:after="240"/>
            </w:pPr>
            <w:r>
              <w:t>If any of the suggested alternate times align with your calendar, please send an updated invite and I will confirm immediately.</w:t>
            </w:r>
          </w:p>
          <w:p>
            <w:pPr>
              <w:spacing w:after="40"/>
            </w:pPr>
            <w:r>
              <w:t>Best regards,</w:t>
              <w:br/>
            </w:r>
            <w:r>
              <w:rPr>
                <w:b/>
                <w:color w:val="1E3A8A"/>
              </w:rPr>
              <w:t>Patan Hashmi</w:t>
              <w:br/>
            </w:r>
            <w:r>
              <w:t>M.Tech Student, Computer Science and Engineering</w:t>
              <w:br/>
              <w:t>Roll Number: 261FB04031</w:t>
            </w:r>
          </w:p>
        </w:tc>
      </w:tr>
    </w:tbl>
    <w:p>
      <w:pPr>
        <w:spacing w:before="200"/>
      </w:pPr>
    </w:p>
    <w:p>
      <w:pPr>
        <w:spacing w:before="160" w:after="80"/>
      </w:pPr>
      <w:r>
        <w:rPr>
          <w:b/>
          <w:color w:val="1E3A8A"/>
          <w:sz w:val="26"/>
        </w:rPr>
        <w:t>Key Formatting &amp; Clarity Enhancements Applied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592"/>
            <w:shd w:fill="1E3A8A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6" w:color="CBD5E1" w:space="0"/>
              <w:left w:val="none"/>
              <w:bottom w:val="single" w:sz="6" w:color="CBD5E1" w:space="0"/>
              <w:right w:val="none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Email Element</w:t>
            </w:r>
          </w:p>
        </w:tc>
        <w:tc>
          <w:tcPr>
            <w:tcW w:type="dxa" w:w="3312"/>
            <w:shd w:fill="1E3A8A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6" w:color="CBD5E1" w:space="0"/>
              <w:left w:val="none"/>
              <w:bottom w:val="single" w:sz="6" w:color="CBD5E1" w:space="0"/>
              <w:right w:val="none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Draft Inefficiency</w:t>
            </w:r>
          </w:p>
        </w:tc>
        <w:tc>
          <w:tcPr>
            <w:tcW w:type="dxa" w:w="3456"/>
            <w:shd w:fill="1E3A8A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6" w:color="CBD5E1" w:space="0"/>
              <w:left w:val="none"/>
              <w:bottom w:val="single" w:sz="6" w:color="CBD5E1" w:space="0"/>
              <w:right w:val="none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Refined Best-Practice Structure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none"/>
              <w:left w:val="none"/>
              <w:bottom w:val="single" w:sz="6" w:color="CBD5E1" w:space="0"/>
              <w:right w:val="none"/>
            </w:tcBorders>
          </w:tcPr>
          <w:p>
            <w:pPr>
              <w:spacing w:after="0"/>
            </w:pPr>
            <w:r>
              <w:rPr>
                <w:color w:val="1F2937"/>
                <w:sz w:val="19"/>
              </w:rPr>
              <w:t>Subject Line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none"/>
              <w:left w:val="none"/>
              <w:bottom w:val="single" w:sz="6" w:color="CBD5E1" w:space="0"/>
              <w:right w:val="none"/>
            </w:tcBorders>
          </w:tcPr>
          <w:p>
            <w:pPr>
              <w:spacing w:after="0"/>
            </w:pPr>
            <w:r>
              <w:rPr>
                <w:color w:val="1F2937"/>
                <w:sz w:val="19"/>
              </w:rPr>
              <w:t>Generic reply with no context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none"/>
              <w:left w:val="none"/>
              <w:bottom w:val="single" w:sz="6" w:color="CBD5E1" w:space="0"/>
              <w:right w:val="none"/>
            </w:tcBorders>
          </w:tcPr>
          <w:p>
            <w:pPr>
              <w:spacing w:after="0"/>
            </w:pPr>
            <w:r>
              <w:rPr>
                <w:color w:val="1F2937"/>
                <w:sz w:val="19"/>
              </w:rPr>
              <w:t>Appended '– Time Adjustment' for immediate inbox triage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none"/>
              <w:left w:val="none"/>
              <w:bottom w:val="single" w:sz="6" w:color="CBD5E1" w:space="0"/>
              <w:right w:val="none"/>
            </w:tcBorders>
          </w:tcPr>
          <w:p>
            <w:pPr>
              <w:spacing w:after="0"/>
            </w:pPr>
            <w:r>
              <w:rPr>
                <w:color w:val="1F2937"/>
                <w:sz w:val="19"/>
              </w:rPr>
              <w:t>Availability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none"/>
              <w:left w:val="none"/>
              <w:bottom w:val="single" w:sz="6" w:color="CBD5E1" w:space="0"/>
              <w:right w:val="none"/>
            </w:tcBorders>
          </w:tcPr>
          <w:p>
            <w:pPr>
              <w:spacing w:after="0"/>
            </w:pPr>
            <w:r>
              <w:rPr>
                <w:color w:val="1F2937"/>
                <w:sz w:val="19"/>
              </w:rPr>
              <w:t>Scattered conversational options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none"/>
              <w:left w:val="none"/>
              <w:bottom w:val="single" w:sz="6" w:color="CBD5E1" w:space="0"/>
              <w:right w:val="none"/>
            </w:tcBorders>
          </w:tcPr>
          <w:p>
            <w:pPr>
              <w:spacing w:after="0"/>
            </w:pPr>
            <w:r>
              <w:rPr>
                <w:color w:val="1F2937"/>
                <w:sz w:val="19"/>
              </w:rPr>
              <w:t>Structured bullet points with exact time intervals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none"/>
              <w:left w:val="none"/>
              <w:bottom w:val="single" w:sz="6" w:color="CBD5E1" w:space="0"/>
              <w:right w:val="none"/>
            </w:tcBorders>
          </w:tcPr>
          <w:p>
            <w:pPr>
              <w:spacing w:after="0"/>
            </w:pPr>
            <w:r>
              <w:rPr>
                <w:color w:val="1F2937"/>
                <w:sz w:val="19"/>
              </w:rPr>
              <w:t>Agenda Alignment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none"/>
              <w:left w:val="none"/>
              <w:bottom w:val="single" w:sz="6" w:color="CBD5E1" w:space="0"/>
              <w:right w:val="none"/>
            </w:tcBorders>
          </w:tcPr>
          <w:p>
            <w:pPr>
              <w:spacing w:after="0"/>
            </w:pPr>
            <w:r>
              <w:rPr>
                <w:color w:val="1F2937"/>
                <w:sz w:val="19"/>
              </w:rPr>
              <w:t>Passive question at paragraph end</w:t>
            </w:r>
          </w:p>
        </w:tc>
        <w:tc>
          <w:tcPr>
            <w:tcW w:type="dxa" w:w="345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none"/>
              <w:left w:val="none"/>
              <w:bottom w:val="single" w:sz="6" w:color="CBD5E1" w:space="0"/>
              <w:right w:val="none"/>
            </w:tcBorders>
          </w:tcPr>
          <w:p>
            <w:pPr>
              <w:spacing w:after="0"/>
            </w:pPr>
            <w:r>
              <w:rPr>
                <w:color w:val="1F2937"/>
                <w:sz w:val="19"/>
              </w:rPr>
              <w:t>Dedicated 'Preparation' section with explicit demo scope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none"/>
              <w:left w:val="none"/>
              <w:bottom w:val="single" w:sz="6" w:color="CBD5E1" w:space="0"/>
              <w:right w:val="none"/>
            </w:tcBorders>
          </w:tcPr>
          <w:p>
            <w:pPr>
              <w:spacing w:after="0"/>
            </w:pPr>
            <w:r>
              <w:rPr>
                <w:color w:val="1F2937"/>
                <w:sz w:val="19"/>
              </w:rPr>
              <w:t>Call to Action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none"/>
              <w:left w:val="none"/>
              <w:bottom w:val="single" w:sz="6" w:color="CBD5E1" w:space="0"/>
              <w:right w:val="none"/>
            </w:tcBorders>
          </w:tcPr>
          <w:p>
            <w:pPr>
              <w:spacing w:after="0"/>
            </w:pPr>
            <w:r>
              <w:rPr>
                <w:color w:val="1F2937"/>
                <w:sz w:val="19"/>
              </w:rPr>
              <w:t>Vague open-ended question</w:t>
            </w:r>
          </w:p>
        </w:tc>
        <w:tc>
          <w:tcPr>
            <w:tcW w:type="dxa" w:w="345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none"/>
              <w:left w:val="none"/>
              <w:bottom w:val="single" w:sz="6" w:color="CBD5E1" w:space="0"/>
              <w:right w:val="none"/>
            </w:tcBorders>
          </w:tcPr>
          <w:p>
            <w:pPr>
              <w:spacing w:after="0"/>
            </w:pPr>
            <w:r>
              <w:rPr>
                <w:color w:val="1F2937"/>
                <w:sz w:val="19"/>
              </w:rPr>
              <w:t>Decisive closing requesting updated calendar invitation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