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E3A8A"/>
          <w:sz w:val="40"/>
        </w:rPr>
        <w:t>Formal Meeting Minutes (MoM)</w:t>
      </w:r>
    </w:p>
    <w:p>
      <w:pPr>
        <w:spacing w:after="240"/>
      </w:pPr>
      <w:r>
        <w:rPr>
          <w:i/>
          <w:color w:val="475569"/>
          <w:sz w:val="23"/>
        </w:rPr>
        <w:t>Curriculum &amp; Research Committee: Integration of Agentic AI &amp; LLM Systems</w:t>
        <w:br/>
      </w:r>
      <w:r>
        <w:rPr>
          <w:color w:val="475569"/>
          <w:sz w:val="19"/>
        </w:rPr>
        <w:t>Department of Computer Science and Engineering  |  Documentation &amp; Action Tracking</w:t>
      </w:r>
    </w:p>
    <w:p>
      <w:pPr>
        <w:spacing w:after="240"/>
        <w:pBdr>
          <w:bottom w:val="single" w:sz="16" w:space="1" w:color="1E3A8A"/>
        </w:pBdr>
      </w:pP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Borders>
              <w:top w:val="none"/>
              <w:left w:val="none"/>
              <w:bottom w:val="single" w:sz="4" w:color="E2E8F0" w:space="0"/>
              <w:right w:val="none"/>
            </w:tcBorders>
          </w:tcPr>
          <w:p>
            <w:pPr>
              <w:spacing w:after="0"/>
            </w:pPr>
            <w:r>
              <w:rPr>
                <w:b/>
                <w:color w:val="1E3A8A"/>
                <w:sz w:val="19"/>
              </w:rPr>
              <w:t>Meeting Purpose:</w:t>
            </w:r>
            <w:r>
              <w:rPr>
                <w:sz w:val="19"/>
              </w:rPr>
              <w:t xml:space="preserve"> Agentic AI Coursework Integration</w:t>
            </w:r>
          </w:p>
        </w:tc>
        <w:tc>
          <w:tcPr>
            <w:tcW w:type="dxa" w:w="4680"/>
            <w:shd w:fill="F8FAFC"/>
            <w:tcMar>
              <w:top w:w="60" w:type="dxa"/>
              <w:bottom w:w="60" w:type="dxa"/>
              <w:left w:w="100" w:type="dxa"/>
              <w:right w:w="100" w:type="dxa"/>
            </w:tcMar>
            <w:tcBorders>
              <w:top w:val="none"/>
              <w:left w:val="none"/>
              <w:bottom w:val="single" w:sz="4" w:color="E2E8F0" w:space="0"/>
              <w:right w:val="none"/>
            </w:tcBorders>
          </w:tcPr>
          <w:p>
            <w:pPr>
              <w:spacing w:after="0"/>
            </w:pPr>
            <w:r>
              <w:rPr>
                <w:b/>
                <w:color w:val="1E3A8A"/>
                <w:sz w:val="19"/>
              </w:rPr>
              <w:t>Date &amp; Time:</w:t>
            </w:r>
            <w:r>
              <w:rPr>
                <w:sz w:val="19"/>
              </w:rPr>
              <w:t xml:space="preserve"> Wednesday, October 7, 2026 | 11:00 AM</w:t>
            </w:r>
          </w:p>
        </w:tc>
      </w:tr>
      <w:tr>
        <w:tc>
          <w:tcPr>
            <w:tcW w:type="dxa" w:w="4680"/>
            <w:shd w:fill="F8FAFC"/>
            <w:tcMar>
              <w:top w:w="60" w:type="dxa"/>
              <w:bottom w:w="60" w:type="dxa"/>
              <w:left w:w="100" w:type="dxa"/>
              <w:right w:w="100" w:type="dxa"/>
            </w:tcMar>
            <w:tcBorders>
              <w:top w:val="none"/>
              <w:left w:val="none"/>
              <w:bottom w:val="single" w:sz="4" w:color="E2E8F0" w:space="0"/>
              <w:right w:val="none"/>
            </w:tcBorders>
          </w:tcPr>
          <w:p>
            <w:pPr>
              <w:spacing w:after="0"/>
            </w:pPr>
            <w:r>
              <w:rPr>
                <w:b/>
                <w:color w:val="1E3A8A"/>
                <w:sz w:val="19"/>
              </w:rPr>
              <w:t>Meeting Chair:</w:t>
            </w:r>
            <w:r>
              <w:rPr>
                <w:sz w:val="19"/>
              </w:rPr>
              <w:t xml:space="preserve"> Dr. Sharma (Head of Committee)</w:t>
            </w:r>
          </w:p>
        </w:tc>
        <w:tc>
          <w:tcPr>
            <w:tcW w:type="dxa" w:w="4680"/>
            <w:shd w:fill="F8FAFC"/>
            <w:tcMar>
              <w:top w:w="60" w:type="dxa"/>
              <w:bottom w:w="60" w:type="dxa"/>
              <w:left w:w="100" w:type="dxa"/>
              <w:right w:w="100" w:type="dxa"/>
            </w:tcMar>
            <w:tcBorders>
              <w:top w:val="none"/>
              <w:left w:val="none"/>
              <w:bottom w:val="single" w:sz="4" w:color="E2E8F0" w:space="0"/>
              <w:right w:val="none"/>
            </w:tcBorders>
          </w:tcPr>
          <w:p>
            <w:pPr>
              <w:spacing w:after="0"/>
            </w:pPr>
            <w:r>
              <w:rPr>
                <w:b/>
                <w:color w:val="1E3A8A"/>
                <w:sz w:val="19"/>
              </w:rPr>
              <w:t>Student Representative:</w:t>
            </w:r>
            <w:r>
              <w:rPr>
                <w:sz w:val="19"/>
              </w:rPr>
              <w:t xml:space="preserve"> Patan Hashmi (Roll No: 261FB04031)</w:t>
            </w:r>
          </w:p>
        </w:tc>
      </w:tr>
      <w:tr>
        <w:tc>
          <w:tcPr>
            <w:tcW w:type="dxa" w:w="4680"/>
            <w:shd w:fill="F8FAFC"/>
            <w:tcMar>
              <w:top w:w="60" w:type="dxa"/>
              <w:bottom w:w="60" w:type="dxa"/>
              <w:left w:w="100" w:type="dxa"/>
              <w:right w:w="100" w:type="dxa"/>
            </w:tcMar>
            <w:tcBorders>
              <w:top w:val="none"/>
              <w:left w:val="none"/>
              <w:bottom w:val="single" w:sz="4" w:color="E2E8F0" w:space="0"/>
              <w:right w:val="none"/>
            </w:tcBorders>
          </w:tcPr>
          <w:p>
            <w:pPr>
              <w:spacing w:after="0"/>
            </w:pPr>
            <w:r>
              <w:rPr>
                <w:b/>
                <w:color w:val="1E3A8A"/>
                <w:sz w:val="19"/>
              </w:rPr>
              <w:t>Key Attendees:</w:t>
            </w:r>
            <w:r>
              <w:rPr>
                <w:sz w:val="19"/>
              </w:rPr>
              <w:t xml:space="preserve"> Prof. Ananya, CSE Faculty Members</w:t>
            </w:r>
          </w:p>
        </w:tc>
        <w:tc>
          <w:tcPr>
            <w:tcW w:type="dxa" w:w="4680"/>
            <w:shd w:fill="F8FAFC"/>
            <w:tcMar>
              <w:top w:w="60" w:type="dxa"/>
              <w:bottom w:w="60" w:type="dxa"/>
              <w:left w:w="100" w:type="dxa"/>
              <w:right w:w="100" w:type="dxa"/>
            </w:tcMar>
            <w:tcBorders>
              <w:top w:val="none"/>
              <w:left w:val="none"/>
              <w:bottom w:val="single" w:sz="4" w:color="E2E8F0" w:space="0"/>
              <w:right w:val="none"/>
            </w:tcBorders>
          </w:tcPr>
          <w:p>
            <w:pPr>
              <w:spacing w:after="0"/>
            </w:pPr>
            <w:r>
              <w:rPr>
                <w:b/>
                <w:color w:val="1E3A8A"/>
                <w:sz w:val="19"/>
              </w:rPr>
              <w:t>Location / Mode:</w:t>
            </w:r>
            <w:r>
              <w:rPr>
                <w:sz w:val="19"/>
              </w:rPr>
              <w:t xml:space="preserve"> Department Conference Room &amp; Online</w:t>
            </w:r>
          </w:p>
        </w:tc>
      </w:tr>
    </w:tbl>
    <w:p>
      <w:pPr>
        <w:spacing w:before="120"/>
      </w:pPr>
    </w:p>
    <w:p>
      <w:pPr>
        <w:spacing w:before="240" w:after="80"/>
      </w:pPr>
      <w:r>
        <w:rPr>
          <w:b/>
          <w:color w:val="1E3A8A"/>
          <w:sz w:val="26"/>
        </w:rPr>
        <w:t>1. Source Discussion Context</w:t>
      </w:r>
    </w:p>
    <w:p>
      <w:pPr>
        <w:spacing w:after="60"/>
      </w:pPr>
      <w:r>
        <w:t>Original unformatted discussion recorded during the committee meeting:</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60" w:type="dxa"/>
              <w:right w:w="160" w:type="dxa"/>
            </w:tcMar>
            <w:tcBorders>
              <w:top w:val="none"/>
              <w:left w:val="single" w:sz="18" w:color="9CA3AF" w:space="0"/>
              <w:bottom w:val="none"/>
              <w:right w:val="none"/>
            </w:tcBorders>
          </w:tcPr>
          <w:p>
            <w:pPr>
              <w:spacing w:after="0"/>
            </w:pPr>
            <w:r>
              <w:rPr>
                <w:i/>
                <w:color w:val="1F2937"/>
                <w:sz w:val="19"/>
              </w:rPr>
              <w:t>"The department curriculum and research committee met on Wednesday at 11:00 AM to address the integration of Agentic AI and Large Language Model tools into the upcoming semester's coursework. Dr. Sharma opened the session highlighting that students currently lack hands-on experience with autonomous agent pipelines and production-grade API deployments. Prof. Ananya agreed, suggesting that rather than replacing core theoretical subjects, we embed a 4-week practical lab module into the Advanced Software Systems course. The team deliberated on the infrastructure limitations; our existing computer labs lack dedicated local GPUs for running quantized open-source models. Patan Hashmi recommended deploying a centralized server endpoint with token-based access via browser notebooks so all students can run experiments without crashes. The chair approved this approach. Regarding next steps, Prof. Ananya will draft the revised 4-week syllabus by next Monday, Patan will configure and benchmark the tokenized GPU endpoints by October 14, and Dr. Sharma will submit the formal curriculum amendment proposal to the Academic Council by October 20."</w:t>
            </w:r>
          </w:p>
        </w:tc>
      </w:tr>
    </w:tbl>
    <w:p>
      <w:pPr>
        <w:spacing w:before="240" w:after="80"/>
      </w:pPr>
      <w:r>
        <w:rPr>
          <w:b/>
          <w:color w:val="1E3A8A"/>
          <w:sz w:val="26"/>
        </w:rPr>
        <w:t>2. Formal Meeting Agenda</w:t>
      </w:r>
    </w:p>
    <w:p>
      <w:r>
        <w:t>The committee convened to review four core strategic items:</w:t>
      </w:r>
    </w:p>
    <w:p>
      <w:pPr>
        <w:pStyle w:val="ListNumber"/>
        <w:spacing w:after="40"/>
      </w:pPr>
      <w:r>
        <w:t>Evaluation of pedagogical gaps in applied AI, tool-use systems, and autonomous agent orchestration.</w:t>
      </w:r>
    </w:p>
    <w:p>
      <w:pPr>
        <w:pStyle w:val="ListNumber"/>
        <w:spacing w:after="40"/>
      </w:pPr>
      <w:r>
        <w:t>Curricular integration model: Standalone elective vs. modular practical lab in existing core courses.</w:t>
      </w:r>
    </w:p>
    <w:p>
      <w:pPr>
        <w:pStyle w:val="ListNumber"/>
        <w:spacing w:after="40"/>
      </w:pPr>
      <w:r>
        <w:t>Hardware infrastructure, GPU bottlenecks, and centralized server-side compute resolution.</w:t>
      </w:r>
    </w:p>
    <w:p>
      <w:pPr>
        <w:pStyle w:val="ListNumber"/>
        <w:spacing w:after="40"/>
      </w:pPr>
      <w:r>
        <w:t>Academic governance, approval timelines, and formal submission to the Academic Council.</w:t>
      </w:r>
    </w:p>
    <w:p>
      <w:pPr>
        <w:spacing w:before="240" w:after="80"/>
      </w:pPr>
      <w:r>
        <w:rPr>
          <w:b/>
          <w:color w:val="1E3A8A"/>
          <w:sz w:val="26"/>
        </w:rPr>
        <w:t>3. Executive Summary of Proceedings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top w:val="none"/>
              <w:left w:val="single" w:sz="20" w:color="1E3A8A" w:space="0"/>
              <w:bottom w:val="none"/>
              <w:right w:val="none"/>
            </w:tcBorders>
          </w:tcPr>
          <w:p>
            <w:pPr>
              <w:spacing w:after="40"/>
            </w:pPr>
            <w:r>
              <w:rPr>
                <w:b/>
                <w:color w:val="1E3A8A"/>
                <w:sz w:val="20"/>
              </w:rPr>
              <w:t>EXECUTIVE SUMMARY</w:t>
              <w:br/>
            </w:r>
            <w:r>
              <w:rPr>
                <w:sz w:val="21"/>
              </w:rPr>
              <w:t>The committee formally resolved to incorporate a focused 4-week practical lab module on Agentic AI into the existing Advanced Software Systems curriculum. To overcome laboratory hardware memory bottlenecks, the department approved Patan Hashmi's recommendation to utilize centralized tokenized GPU endpoints interfacing through browser notebooks. All syllabus deliverables, infrastructure benchmarks, and Council submission deadlines have been finalized.</w:t>
            </w:r>
          </w:p>
        </w:tc>
      </w:tr>
    </w:tbl>
    <w:p>
      <w:pPr>
        <w:spacing w:before="240" w:after="80"/>
      </w:pPr>
      <w:r>
        <w:rPr>
          <w:b/>
          <w:color w:val="1E3A8A"/>
          <w:sz w:val="26"/>
        </w:rPr>
        <w:t>4. Key Discussion Points &amp; Consensus Decisions</w:t>
      </w:r>
    </w:p>
    <w:p>
      <w:pPr>
        <w:pStyle w:val="ListBullet"/>
        <w:spacing w:after="60"/>
      </w:pPr>
      <w:r>
        <w:rPr>
          <w:b/>
          <w:color w:val="1E3A8A"/>
        </w:rPr>
        <w:t xml:space="preserve">Curricular Integration Strategy: </w:t>
      </w:r>
      <w:r>
        <w:t>Adopted a modular 4-week practical lab within Advanced Software Systems instead of an independent subject, avoiding curriculum congestion while imparting production-ready agent skills.</w:t>
      </w:r>
    </w:p>
    <w:p>
      <w:pPr>
        <w:pStyle w:val="ListBullet"/>
        <w:spacing w:after="60"/>
      </w:pPr>
      <w:r>
        <w:rPr>
          <w:b/>
          <w:color w:val="1E3A8A"/>
        </w:rPr>
        <w:t xml:space="preserve">Infrastructure Bottleneck Resolution: </w:t>
      </w:r>
      <w:r>
        <w:t>Ruled out local workstation execution due to driver conflicts and limited VRAM; endorsed centralized GPU server deployment with browser-based Jupyter access.</w:t>
      </w:r>
    </w:p>
    <w:p>
      <w:pPr>
        <w:pStyle w:val="ListBullet"/>
        <w:spacing w:after="60"/>
      </w:pPr>
      <w:r>
        <w:rPr>
          <w:b/>
          <w:color w:val="1E3A8A"/>
        </w:rPr>
        <w:t xml:space="preserve">Student Experience &amp; Evaluation: </w:t>
      </w:r>
      <w:r>
        <w:t>Focused evaluation on autonomous agent pipelines, tool-calling mechanisms, and memory architectures with standardized pre-authenticated API keys.</w:t>
      </w:r>
    </w:p>
    <w:p>
      <w:pPr>
        <w:pStyle w:val="ListBullet"/>
        <w:spacing w:after="60"/>
      </w:pPr>
      <w:r>
        <w:rPr>
          <w:b/>
          <w:color w:val="1E3A8A"/>
        </w:rPr>
        <w:t xml:space="preserve">Governance Approval Path: </w:t>
      </w:r>
      <w:r>
        <w:t>Dr. Sharma confirmed submission to the Academic Council scheduled for October 20, 2026, ensuring timely clearance for the upcoming term.</w:t>
      </w:r>
    </w:p>
    <w:p>
      <w:pPr>
        <w:spacing w:before="240" w:after="80"/>
      </w:pPr>
      <w:r>
        <w:rPr>
          <w:b/>
          <w:color w:val="1E3A8A"/>
          <w:sz w:val="26"/>
        </w:rPr>
        <w:t>5. Action Items &amp; Task Assignment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rPr>
        <w:tc>
          <w:tcPr>
            <w:tcW w:type="dxa" w:w="576"/>
            <w:shd w:fill="1E3A8A"/>
            <w:tcMar>
              <w:top w:w="80" w:type="dxa"/>
              <w:bottom w:w="80" w:type="dxa"/>
              <w:left w:w="100" w:type="dxa"/>
              <w:right w:w="100" w:type="dxa"/>
            </w:tcMar>
            <w:tcBorders>
              <w:top w:val="single" w:sz="6" w:color="CBD5E1" w:space="0"/>
              <w:left w:val="none"/>
              <w:bottom w:val="single" w:sz="6" w:color="CBD5E1" w:space="0"/>
              <w:right w:val="none"/>
            </w:tcBorders>
          </w:tcPr>
          <w:p>
            <w:pPr>
              <w:spacing w:after="0"/>
            </w:pPr>
            <w:r>
              <w:rPr>
                <w:b/>
                <w:color w:val="FFFFFF"/>
                <w:sz w:val="18"/>
              </w:rPr>
              <w:t>No.</w:t>
            </w:r>
          </w:p>
        </w:tc>
        <w:tc>
          <w:tcPr>
            <w:tcW w:type="dxa" w:w="3888"/>
            <w:shd w:fill="1E3A8A"/>
            <w:tcMar>
              <w:top w:w="80" w:type="dxa"/>
              <w:bottom w:w="80" w:type="dxa"/>
              <w:left w:w="100" w:type="dxa"/>
              <w:right w:w="100" w:type="dxa"/>
            </w:tcMar>
            <w:tcBorders>
              <w:top w:val="single" w:sz="6" w:color="CBD5E1" w:space="0"/>
              <w:left w:val="none"/>
              <w:bottom w:val="single" w:sz="6" w:color="CBD5E1" w:space="0"/>
              <w:right w:val="none"/>
            </w:tcBorders>
          </w:tcPr>
          <w:p>
            <w:pPr>
              <w:spacing w:after="0"/>
            </w:pPr>
            <w:r>
              <w:rPr>
                <w:b/>
                <w:color w:val="FFFFFF"/>
                <w:sz w:val="18"/>
              </w:rPr>
              <w:t>Task / Action Item</w:t>
            </w:r>
          </w:p>
        </w:tc>
        <w:tc>
          <w:tcPr>
            <w:tcW w:type="dxa" w:w="2160"/>
            <w:shd w:fill="1E3A8A"/>
            <w:tcMar>
              <w:top w:w="80" w:type="dxa"/>
              <w:bottom w:w="80" w:type="dxa"/>
              <w:left w:w="100" w:type="dxa"/>
              <w:right w:w="100" w:type="dxa"/>
            </w:tcMar>
            <w:tcBorders>
              <w:top w:val="single" w:sz="6" w:color="CBD5E1" w:space="0"/>
              <w:left w:val="none"/>
              <w:bottom w:val="single" w:sz="6" w:color="CBD5E1" w:space="0"/>
              <w:right w:val="none"/>
            </w:tcBorders>
          </w:tcPr>
          <w:p>
            <w:pPr>
              <w:spacing w:after="0"/>
            </w:pPr>
            <w:r>
              <w:rPr>
                <w:b/>
                <w:color w:val="FFFFFF"/>
                <w:sz w:val="18"/>
              </w:rPr>
              <w:t>Assignee / Owner</w:t>
            </w:r>
          </w:p>
        </w:tc>
        <w:tc>
          <w:tcPr>
            <w:tcW w:type="dxa" w:w="1584"/>
            <w:shd w:fill="1E3A8A"/>
            <w:tcMar>
              <w:top w:w="80" w:type="dxa"/>
              <w:bottom w:w="80" w:type="dxa"/>
              <w:left w:w="100" w:type="dxa"/>
              <w:right w:w="100" w:type="dxa"/>
            </w:tcMar>
            <w:tcBorders>
              <w:top w:val="single" w:sz="6" w:color="CBD5E1" w:space="0"/>
              <w:left w:val="none"/>
              <w:bottom w:val="single" w:sz="6" w:color="CBD5E1" w:space="0"/>
              <w:right w:val="none"/>
            </w:tcBorders>
          </w:tcPr>
          <w:p>
            <w:pPr>
              <w:spacing w:after="0"/>
            </w:pPr>
            <w:r>
              <w:rPr>
                <w:b/>
                <w:color w:val="FFFFFF"/>
                <w:sz w:val="18"/>
              </w:rPr>
              <w:t>Deadline</w:t>
            </w:r>
          </w:p>
        </w:tc>
        <w:tc>
          <w:tcPr>
            <w:tcW w:type="dxa" w:w="1152"/>
            <w:shd w:fill="1E3A8A"/>
            <w:tcMar>
              <w:top w:w="80" w:type="dxa"/>
              <w:bottom w:w="80" w:type="dxa"/>
              <w:left w:w="100" w:type="dxa"/>
              <w:right w:w="100" w:type="dxa"/>
            </w:tcMar>
            <w:tcBorders>
              <w:top w:val="single" w:sz="6" w:color="CBD5E1" w:space="0"/>
              <w:left w:val="none"/>
              <w:bottom w:val="single" w:sz="6" w:color="CBD5E1" w:space="0"/>
              <w:right w:val="none"/>
            </w:tcBorders>
          </w:tcPr>
          <w:p>
            <w:pPr>
              <w:spacing w:after="0"/>
            </w:pPr>
            <w:r>
              <w:rPr>
                <w:b/>
                <w:color w:val="FFFFFF"/>
                <w:sz w:val="18"/>
              </w:rPr>
              <w:t>Status</w:t>
            </w:r>
          </w:p>
        </w:tc>
      </w:tr>
      <w:tr>
        <w:trPr>
          <w:cantSplit/>
        </w:trPr>
        <w:tc>
          <w:tcPr>
            <w:tcW w:type="dxa" w:w="576"/>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1</w:t>
            </w:r>
          </w:p>
        </w:tc>
        <w:tc>
          <w:tcPr>
            <w:tcW w:type="dxa" w:w="3888"/>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Draft detailed 4-week Agentic AI module syllabus &amp; lab manual</w:t>
            </w:r>
          </w:p>
        </w:tc>
        <w:tc>
          <w:tcPr>
            <w:tcW w:type="dxa" w:w="2160"/>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Prof. Ananya</w:t>
            </w:r>
          </w:p>
        </w:tc>
        <w:tc>
          <w:tcPr>
            <w:tcW w:type="dxa" w:w="1584"/>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October 12, 2026</w:t>
            </w:r>
          </w:p>
        </w:tc>
        <w:tc>
          <w:tcPr>
            <w:tcW w:type="dxa" w:w="1152"/>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Assigned</w:t>
            </w:r>
          </w:p>
        </w:tc>
      </w:tr>
      <w:tr>
        <w:trPr>
          <w:cantSplit/>
        </w:trPr>
        <w:tc>
          <w:tcPr>
            <w:tcW w:type="dxa" w:w="576"/>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2</w:t>
            </w:r>
          </w:p>
        </w:tc>
        <w:tc>
          <w:tcPr>
            <w:tcW w:type="dxa" w:w="3888"/>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Provision, configure &amp; benchmark centralized GPU server endpoints</w:t>
            </w:r>
          </w:p>
        </w:tc>
        <w:tc>
          <w:tcPr>
            <w:tcW w:type="dxa" w:w="2160"/>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Patan Hashmi (261FB04031)</w:t>
            </w:r>
          </w:p>
        </w:tc>
        <w:tc>
          <w:tcPr>
            <w:tcW w:type="dxa" w:w="1584"/>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October 14, 2026</w:t>
            </w:r>
          </w:p>
        </w:tc>
        <w:tc>
          <w:tcPr>
            <w:tcW w:type="dxa" w:w="1152"/>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In Progress</w:t>
            </w:r>
          </w:p>
        </w:tc>
      </w:tr>
      <w:tr>
        <w:trPr>
          <w:cantSplit/>
        </w:trPr>
        <w:tc>
          <w:tcPr>
            <w:tcW w:type="dxa" w:w="576"/>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3</w:t>
            </w:r>
          </w:p>
        </w:tc>
        <w:tc>
          <w:tcPr>
            <w:tcW w:type="dxa" w:w="3888"/>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Compile and submit curriculum amendment memo to Academic Council</w:t>
            </w:r>
          </w:p>
        </w:tc>
        <w:tc>
          <w:tcPr>
            <w:tcW w:type="dxa" w:w="2160"/>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Dr. Sharma</w:t>
            </w:r>
          </w:p>
        </w:tc>
        <w:tc>
          <w:tcPr>
            <w:tcW w:type="dxa" w:w="1584"/>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October 20, 2026</w:t>
            </w:r>
          </w:p>
        </w:tc>
        <w:tc>
          <w:tcPr>
            <w:tcW w:type="dxa" w:w="1152"/>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Pending</w:t>
            </w:r>
          </w:p>
        </w:tc>
      </w:tr>
      <w:tr>
        <w:trPr>
          <w:cantSplit/>
        </w:trPr>
        <w:tc>
          <w:tcPr>
            <w:tcW w:type="dxa" w:w="576"/>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4</w:t>
            </w:r>
          </w:p>
        </w:tc>
        <w:tc>
          <w:tcPr>
            <w:tcW w:type="dxa" w:w="3888"/>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Circulate ratified minutes and finalized lab guidelines to faculty</w:t>
            </w:r>
          </w:p>
        </w:tc>
        <w:tc>
          <w:tcPr>
            <w:tcW w:type="dxa" w:w="2160"/>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Department Secretariat</w:t>
            </w:r>
          </w:p>
        </w:tc>
        <w:tc>
          <w:tcPr>
            <w:tcW w:type="dxa" w:w="1584"/>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October 21, 2026</w:t>
            </w:r>
          </w:p>
        </w:tc>
        <w:tc>
          <w:tcPr>
            <w:tcW w:type="dxa" w:w="1152"/>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Pending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